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1E9" w:rsidRPr="00F301E9" w:rsidRDefault="00F301E9" w:rsidP="00F301E9">
      <w:pPr>
        <w:spacing w:before="60" w:after="60" w:line="360" w:lineRule="auto"/>
        <w:jc w:val="center"/>
        <w:rPr>
          <w:rFonts w:ascii="GalanoGrotesque-Bold" w:eastAsia="Calibri" w:hAnsi="GalanoGrotesque-Bold" w:cs="Times New Roman"/>
          <w:b/>
          <w:color w:val="000000"/>
          <w:sz w:val="32"/>
          <w:szCs w:val="32"/>
          <w:lang w:val="es-ES"/>
        </w:rPr>
      </w:pPr>
      <w:bookmarkStart w:id="0" w:name="_GoBack"/>
      <w:r w:rsidRPr="004F06F2">
        <w:rPr>
          <w:noProof/>
          <w:color w:val="833C0B" w:themeColor="accent2" w:themeShade="80"/>
          <w:lang w:eastAsia="es-MX"/>
        </w:rPr>
        <w:drawing>
          <wp:anchor distT="0" distB="0" distL="114300" distR="114300" simplePos="0" relativeHeight="251659264" behindDoc="1" locked="0" layoutInCell="1" allowOverlap="1" wp14:anchorId="7AB5CACE" wp14:editId="2B322F0F">
            <wp:simplePos x="0" y="0"/>
            <wp:positionH relativeFrom="margin">
              <wp:posOffset>0</wp:posOffset>
            </wp:positionH>
            <wp:positionV relativeFrom="paragraph">
              <wp:posOffset>0</wp:posOffset>
            </wp:positionV>
            <wp:extent cx="6351270" cy="8219440"/>
            <wp:effectExtent l="0" t="0" r="0" b="0"/>
            <wp:wrapNone/>
            <wp:docPr id="458" name="Imagen 4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n 458" descr="Diagrama&#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6351270" cy="8219440"/>
                    </a:xfrm>
                    <a:prstGeom prst="rect">
                      <a:avLst/>
                    </a:prstGeom>
                  </pic:spPr>
                </pic:pic>
              </a:graphicData>
            </a:graphic>
          </wp:anchor>
        </w:drawing>
      </w:r>
      <w:bookmarkEnd w:id="0"/>
    </w:p>
    <w:p w:rsidR="00F301E9" w:rsidRPr="00F301E9" w:rsidRDefault="00F301E9" w:rsidP="00F301E9">
      <w:pPr>
        <w:spacing w:before="60" w:after="60" w:line="360" w:lineRule="auto"/>
        <w:jc w:val="center"/>
        <w:rPr>
          <w:rFonts w:ascii="GalanoGrotesque-Bold" w:eastAsia="Calibri" w:hAnsi="GalanoGrotesque-Bold" w:cs="Times New Roman"/>
          <w:b/>
          <w:color w:val="000000"/>
          <w:sz w:val="32"/>
          <w:szCs w:val="32"/>
          <w:lang w:val="es-ES"/>
        </w:rPr>
      </w:pPr>
    </w:p>
    <w:p w:rsidR="00F301E9" w:rsidRPr="00F301E9" w:rsidRDefault="00F301E9" w:rsidP="00F301E9">
      <w:pPr>
        <w:spacing w:before="60" w:after="60" w:line="360" w:lineRule="auto"/>
        <w:jc w:val="both"/>
        <w:rPr>
          <w:rFonts w:ascii="GalanoGrotesque-Light" w:eastAsia="Calibri" w:hAnsi="GalanoGrotesque-Light" w:cs="Times New Roman"/>
          <w:color w:val="864A04"/>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color w:val="864A04"/>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color w:val="864A04"/>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color w:val="864A04"/>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color w:val="864A04"/>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color w:val="864A04"/>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color w:val="864A04"/>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noProof/>
          <w:sz w:val="24"/>
          <w:szCs w:val="24"/>
          <w:lang w:val="es-ES" w:eastAsia="es-MX"/>
        </w:rPr>
      </w:pPr>
    </w:p>
    <w:p w:rsidR="00F301E9" w:rsidRPr="00F301E9" w:rsidRDefault="00F301E9" w:rsidP="00F301E9">
      <w:pPr>
        <w:spacing w:before="60" w:after="60" w:line="360" w:lineRule="auto"/>
        <w:jc w:val="both"/>
        <w:rPr>
          <w:rFonts w:ascii="GalanoGrotesque-Light" w:eastAsia="Calibri" w:hAnsi="GalanoGrotesque-Light" w:cs="Times New Roman"/>
          <w:noProof/>
          <w:sz w:val="24"/>
          <w:szCs w:val="24"/>
          <w:lang w:val="es-ES" w:eastAsia="es-MX"/>
        </w:rPr>
      </w:pPr>
    </w:p>
    <w:p w:rsidR="00F301E9" w:rsidRPr="00F301E9" w:rsidRDefault="00F301E9" w:rsidP="00F301E9">
      <w:pPr>
        <w:spacing w:before="60" w:after="60" w:line="360" w:lineRule="auto"/>
        <w:jc w:val="both"/>
        <w:rPr>
          <w:rFonts w:ascii="GalanoGrotesque-Light" w:eastAsia="Calibri" w:hAnsi="GalanoGrotesque-Light" w:cs="Times New Roman"/>
          <w:color w:val="864A04"/>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color w:val="864A04"/>
          <w:sz w:val="24"/>
          <w:szCs w:val="24"/>
          <w:lang w:val="es-ES"/>
        </w:rPr>
      </w:pPr>
      <w:r w:rsidRPr="00F301E9">
        <w:rPr>
          <w:rFonts w:ascii="GalanoGrotesque-Light" w:eastAsia="Calibri" w:hAnsi="GalanoGrotesque-Light" w:cs="Times New Roman"/>
          <w:color w:val="864A04"/>
          <w:sz w:val="24"/>
          <w:szCs w:val="24"/>
          <w:lang w:val="es-ES"/>
        </w:rPr>
        <w:br w:type="page"/>
      </w:r>
    </w:p>
    <w:p w:rsidR="00F301E9" w:rsidRPr="00F301E9" w:rsidRDefault="00F301E9" w:rsidP="00F301E9">
      <w:pPr>
        <w:spacing w:before="60" w:after="60" w:line="360" w:lineRule="auto"/>
        <w:jc w:val="both"/>
        <w:rPr>
          <w:rFonts w:ascii="GalanoGrotesque-Bold" w:eastAsia="Calibri" w:hAnsi="GalanoGrotesque-Bold" w:cs="Times New Roman"/>
          <w:b/>
          <w:color w:val="000000"/>
          <w:sz w:val="32"/>
          <w:szCs w:val="32"/>
          <w:lang w:val="es-ES"/>
        </w:rPr>
      </w:pPr>
      <w:r w:rsidRPr="00F301E9">
        <w:rPr>
          <w:rFonts w:ascii="GalanoGrotesque-Light" w:eastAsia="Times New Roman" w:hAnsi="GalanoGrotesque-Light" w:cs="Times New Roman"/>
          <w:b/>
          <w:sz w:val="26"/>
          <w:lang w:val="es-ES"/>
        </w:rPr>
        <w:lastRenderedPageBreak/>
        <w:t>1.8 NOTAS A LOS ESTADOS FINANCIEROS</w:t>
      </w:r>
    </w:p>
    <w:p w:rsidR="00F301E9" w:rsidRPr="00F301E9" w:rsidRDefault="00F301E9" w:rsidP="00F301E9">
      <w:pPr>
        <w:spacing w:after="0" w:line="360" w:lineRule="auto"/>
        <w:jc w:val="both"/>
        <w:rPr>
          <w:rFonts w:ascii="GalanoGrotesque-Light" w:eastAsia="Calibri" w:hAnsi="GalanoGrotesque-Light" w:cs="Times New Roman"/>
          <w:bCs/>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bCs/>
          <w:color w:val="000000"/>
          <w:lang w:val="es-ES"/>
        </w:rPr>
      </w:pPr>
      <w:r w:rsidRPr="00F301E9">
        <w:rPr>
          <w:rFonts w:ascii="GalanoGrotesque-Light" w:eastAsia="Calibri" w:hAnsi="GalanoGrotesque-Light" w:cs="Times New Roman"/>
          <w:bCs/>
          <w:color w:val="000000"/>
          <w:lang w:val="es-ES"/>
        </w:rPr>
        <w:t xml:space="preserve">Las notas que se adjuntan al presente informe, son parte integrante de los estados financieros, correspondientes al Cuarto Trimestre del ejercicio fiscal 2025; las cuales, tienen como propósito aclarar o detallar la información y cifras en los mismos, y se presentan </w:t>
      </w:r>
      <w:r w:rsidRPr="00F301E9">
        <w:rPr>
          <w:rFonts w:ascii="GalanoGrotesque-Light" w:eastAsia="Calibri" w:hAnsi="GalanoGrotesque-Light" w:cs="Times New Roman"/>
          <w:lang w:val="es-ES"/>
        </w:rPr>
        <w:t>en cumplimiento de los artículos 47 y 49 de la Ley General de Contabilidad Gubernamental</w:t>
      </w:r>
      <w:r w:rsidRPr="00F301E9">
        <w:rPr>
          <w:rFonts w:ascii="GalanoGrotesque-Light" w:eastAsia="Calibri" w:hAnsi="GalanoGrotesque-Light" w:cs="Times New Roman"/>
          <w:bCs/>
          <w:color w:val="000000"/>
          <w:lang w:val="es-ES"/>
        </w:rPr>
        <w:t xml:space="preserve"> y del </w:t>
      </w:r>
      <w:bookmarkStart w:id="1" w:name="_Hlk166236541"/>
      <w:r w:rsidRPr="00F301E9">
        <w:rPr>
          <w:rFonts w:ascii="GalanoGrotesque-Light" w:eastAsia="Calibri" w:hAnsi="GalanoGrotesque-Light" w:cs="Times New Roman"/>
          <w:bCs/>
          <w:color w:val="000000"/>
          <w:lang w:val="es-ES"/>
        </w:rPr>
        <w:t>Acuerdo que reforma los Capítulos III y VII del Manual de Contabilidad Gubernamental, publicado en el Diario Oficial de la Federación del 27 de septiembre de 2018, 23 de diciembre del 2020 y 6 de diciembre de 2022, respectivamente.</w:t>
      </w:r>
      <w:bookmarkEnd w:id="1"/>
    </w:p>
    <w:p w:rsidR="00F301E9" w:rsidRPr="00F301E9" w:rsidRDefault="00F301E9" w:rsidP="00F301E9">
      <w:pPr>
        <w:spacing w:after="0" w:line="360" w:lineRule="auto"/>
        <w:jc w:val="both"/>
        <w:rPr>
          <w:rFonts w:ascii="GalanoGrotesque-Light" w:eastAsia="Calibri" w:hAnsi="GalanoGrotesque-Light" w:cs="Times New Roman"/>
          <w:bCs/>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bCs/>
          <w:color w:val="000000"/>
          <w:lang w:val="es-ES"/>
        </w:rPr>
      </w:pPr>
      <w:r w:rsidRPr="00F301E9">
        <w:rPr>
          <w:rFonts w:ascii="GalanoGrotesque-Light" w:eastAsia="Calibri" w:hAnsi="GalanoGrotesque-Light" w:cs="Times New Roman"/>
          <w:bCs/>
          <w:color w:val="000000"/>
          <w:lang w:val="es-ES"/>
        </w:rPr>
        <w:t>Algunas de las cifras, están sujetas al programa de depuración iniciado con motivo de la implementación de la armonización de la contabilidad en el Estado y de acuerdo con lo establecido en la Ley General de Contabilidad Gubernamental.</w:t>
      </w:r>
    </w:p>
    <w:p w:rsidR="00F301E9" w:rsidRPr="00F301E9" w:rsidRDefault="00F301E9" w:rsidP="00F301E9">
      <w:pPr>
        <w:spacing w:after="0" w:line="360" w:lineRule="auto"/>
        <w:jc w:val="both"/>
        <w:rPr>
          <w:rFonts w:ascii="GalanoGrotesque-Light" w:eastAsia="Calibri" w:hAnsi="GalanoGrotesque-Light" w:cs="Times New Roman"/>
          <w:bCs/>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bCs/>
          <w:color w:val="000000"/>
          <w:lang w:val="es-ES"/>
        </w:rPr>
      </w:pPr>
      <w:r w:rsidRPr="00F301E9">
        <w:rPr>
          <w:rFonts w:ascii="GalanoGrotesque-Light" w:eastAsia="Calibri" w:hAnsi="GalanoGrotesque-Light" w:cs="Times New Roman"/>
          <w:bCs/>
          <w:color w:val="000000"/>
          <w:lang w:val="es-ES"/>
        </w:rPr>
        <w:t>De conformidad con la citada Ley, así como con la normativa emitida por el Consejo Nacional de Armonización Contable, a continuación, se presentan las notas que acompañan a los estados financieros, a saber:</w:t>
      </w:r>
    </w:p>
    <w:p w:rsidR="00F301E9" w:rsidRPr="00F301E9" w:rsidRDefault="00F301E9" w:rsidP="00F301E9">
      <w:pPr>
        <w:spacing w:after="0" w:line="360" w:lineRule="auto"/>
        <w:jc w:val="both"/>
        <w:rPr>
          <w:rFonts w:ascii="GalanoGrotesque-Light" w:eastAsia="Calibri" w:hAnsi="GalanoGrotesque-Light" w:cs="Times New Roman"/>
          <w:bCs/>
          <w:color w:val="000000"/>
          <w:lang w:val="es-ES"/>
        </w:rPr>
      </w:pPr>
    </w:p>
    <w:p w:rsidR="00F301E9" w:rsidRPr="00F301E9" w:rsidRDefault="00F301E9" w:rsidP="00F301E9">
      <w:pPr>
        <w:numPr>
          <w:ilvl w:val="0"/>
          <w:numId w:val="3"/>
        </w:numPr>
        <w:spacing w:before="60" w:after="0" w:line="360" w:lineRule="auto"/>
        <w:ind w:left="709"/>
        <w:jc w:val="both"/>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 xml:space="preserve">Notas de gestión administrativa </w:t>
      </w:r>
    </w:p>
    <w:p w:rsidR="00F301E9" w:rsidRPr="00F301E9" w:rsidRDefault="00F301E9" w:rsidP="00F301E9">
      <w:pPr>
        <w:numPr>
          <w:ilvl w:val="0"/>
          <w:numId w:val="3"/>
        </w:numPr>
        <w:spacing w:before="60" w:after="0" w:line="360" w:lineRule="auto"/>
        <w:ind w:left="709"/>
        <w:jc w:val="both"/>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Notas de desglose, y</w:t>
      </w:r>
    </w:p>
    <w:p w:rsidR="00F301E9" w:rsidRPr="00F301E9" w:rsidRDefault="00F301E9" w:rsidP="00F301E9">
      <w:pPr>
        <w:numPr>
          <w:ilvl w:val="0"/>
          <w:numId w:val="3"/>
        </w:numPr>
        <w:spacing w:before="60" w:after="0" w:line="360" w:lineRule="auto"/>
        <w:ind w:left="709"/>
        <w:jc w:val="both"/>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Notas de memoria.</w:t>
      </w:r>
    </w:p>
    <w:p w:rsidR="00F301E9" w:rsidRPr="00F301E9" w:rsidRDefault="00F301E9" w:rsidP="00F301E9">
      <w:pPr>
        <w:spacing w:after="0" w:line="360" w:lineRule="auto"/>
        <w:jc w:val="center"/>
        <w:rPr>
          <w:rFonts w:ascii="GalanoGrotesque-Light" w:eastAsia="Calibri" w:hAnsi="GalanoGrotesque-Light" w:cs="Times New Roman"/>
          <w:b/>
          <w:lang w:val="es-ES"/>
        </w:rPr>
      </w:pPr>
    </w:p>
    <w:p w:rsidR="00F301E9" w:rsidRPr="00F301E9" w:rsidRDefault="00F301E9" w:rsidP="00F301E9">
      <w:pPr>
        <w:spacing w:before="60" w:after="60" w:line="360" w:lineRule="auto"/>
        <w:jc w:val="both"/>
        <w:rPr>
          <w:rFonts w:ascii="GalanoGrotesque-Light" w:eastAsia="Calibri" w:hAnsi="GalanoGrotesque-Light" w:cs="Times New Roman"/>
          <w:b/>
          <w:sz w:val="24"/>
          <w:szCs w:val="24"/>
          <w:lang w:val="es-ES"/>
        </w:rPr>
      </w:pPr>
      <w:r w:rsidRPr="00F301E9">
        <w:rPr>
          <w:rFonts w:ascii="GalanoGrotesque-Light" w:eastAsia="Calibri" w:hAnsi="GalanoGrotesque-Light" w:cs="Times New Roman"/>
          <w:b/>
          <w:sz w:val="24"/>
          <w:szCs w:val="24"/>
          <w:lang w:val="es-ES"/>
        </w:rPr>
        <w:br w:type="page"/>
      </w:r>
    </w:p>
    <w:p w:rsidR="00F301E9" w:rsidRPr="00F301E9" w:rsidRDefault="00F301E9" w:rsidP="00F301E9">
      <w:pPr>
        <w:spacing w:after="0" w:line="360" w:lineRule="auto"/>
        <w:jc w:val="center"/>
        <w:rPr>
          <w:rFonts w:ascii="GalanoGrotesque-Light" w:eastAsia="Calibri" w:hAnsi="GalanoGrotesque-Light" w:cs="Times New Roman"/>
          <w:b/>
          <w:sz w:val="28"/>
          <w:szCs w:val="28"/>
          <w:lang w:val="es-ES"/>
        </w:rPr>
      </w:pPr>
      <w:r w:rsidRPr="00F301E9">
        <w:rPr>
          <w:rFonts w:ascii="GalanoGrotesque-Light" w:eastAsia="Calibri" w:hAnsi="GalanoGrotesque-Light" w:cs="Times New Roman"/>
          <w:b/>
          <w:sz w:val="28"/>
          <w:szCs w:val="28"/>
          <w:lang w:val="es-ES"/>
        </w:rPr>
        <w:lastRenderedPageBreak/>
        <w:t>a) NOTAS DE GESTIÓN ADMINISTRATIVA</w:t>
      </w:r>
    </w:p>
    <w:p w:rsidR="00F301E9" w:rsidRPr="00F301E9" w:rsidRDefault="00F301E9" w:rsidP="00F301E9">
      <w:pPr>
        <w:spacing w:after="0" w:line="360" w:lineRule="auto"/>
        <w:jc w:val="both"/>
        <w:rPr>
          <w:rFonts w:ascii="GalanoGrotesque-ExtraLight" w:eastAsia="Calibri" w:hAnsi="GalanoGrotesque-Extra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Introducción</w:t>
      </w:r>
    </w:p>
    <w:p w:rsidR="00F301E9" w:rsidRPr="00F301E9" w:rsidRDefault="00F301E9" w:rsidP="00F301E9">
      <w:pPr>
        <w:spacing w:after="0" w:line="360" w:lineRule="auto"/>
        <w:rPr>
          <w:rFonts w:ascii="GalanoGrotesque-Light" w:eastAsia="Calibri" w:hAnsi="GalanoGrotesque-Light" w:cs="Times New Roman"/>
          <w:lang w:val="es-ES"/>
        </w:rPr>
      </w:pPr>
    </w:p>
    <w:p w:rsidR="00F301E9" w:rsidRPr="00F301E9" w:rsidRDefault="00F301E9" w:rsidP="00F301E9">
      <w:pPr>
        <w:spacing w:before="60" w:after="0" w:line="360" w:lineRule="auto"/>
        <w:jc w:val="both"/>
        <w:rPr>
          <w:rFonts w:ascii="GalanoGrotesque-Light" w:eastAsia="Calibri" w:hAnsi="GalanoGrotesque-Light" w:cs="Times New Roman"/>
          <w:sz w:val="24"/>
          <w:szCs w:val="24"/>
          <w:lang w:val="es-ES"/>
        </w:rPr>
      </w:pPr>
      <w:r w:rsidRPr="00F301E9">
        <w:rPr>
          <w:rFonts w:ascii="GalanoGrotesque-Light" w:eastAsia="Calibri" w:hAnsi="GalanoGrotesque-Light" w:cs="Times New Roman"/>
          <w:lang w:val="es-ES"/>
        </w:rPr>
        <w:t xml:space="preserve">Los Estados Financieros de los entes públicos, proveen de información financiera a los principales usuarios de la misma, entre ellos está el H. Congreso del Estado de Michoacán, así como la ciudadanía en general que demanda información sobre la situación contable del Poder Ejecutivo. </w:t>
      </w:r>
    </w:p>
    <w:p w:rsidR="00F301E9" w:rsidRPr="00F301E9" w:rsidRDefault="00F301E9" w:rsidP="00F301E9">
      <w:pPr>
        <w:spacing w:before="60" w:after="0" w:line="360" w:lineRule="auto"/>
        <w:jc w:val="both"/>
        <w:rPr>
          <w:rFonts w:ascii="GalanoGrotesque-Light" w:eastAsia="Calibri" w:hAnsi="GalanoGrotesque-Light" w:cs="Times New Roman"/>
          <w:lang w:val="es-ES"/>
        </w:rPr>
      </w:pPr>
    </w:p>
    <w:p w:rsidR="00F301E9" w:rsidRPr="00F301E9" w:rsidRDefault="00F301E9" w:rsidP="00F301E9">
      <w:pPr>
        <w:spacing w:before="60" w:after="0" w:line="360" w:lineRule="auto"/>
        <w:jc w:val="both"/>
        <w:rPr>
          <w:rFonts w:ascii="GalanoGrotesque-Light" w:eastAsia="Calibri" w:hAnsi="GalanoGrotesque-Light" w:cs="Times New Roman"/>
          <w:sz w:val="24"/>
          <w:szCs w:val="24"/>
          <w:lang w:val="es-ES"/>
        </w:rPr>
      </w:pPr>
      <w:r w:rsidRPr="00F301E9">
        <w:rPr>
          <w:rFonts w:ascii="GalanoGrotesque-Light" w:eastAsia="Calibri" w:hAnsi="GalanoGrotesque-Light" w:cs="Times New Roman"/>
          <w:lang w:val="es-ES"/>
        </w:rPr>
        <w:t xml:space="preserve">El objetivo del presente documento es la revelación del contexto y de los aspectos económicos financieros más relevantes que influyeron en las decisiones del período, que comprende del 1 de enero al 31 de diciembre de 2025, y que se consideraron en la elaboración de los Estados Financieros para la mayor comprensión de los mismos y sus particularidades. </w:t>
      </w:r>
    </w:p>
    <w:p w:rsidR="00F301E9" w:rsidRPr="00F301E9" w:rsidRDefault="00F301E9" w:rsidP="00F301E9">
      <w:pPr>
        <w:spacing w:before="60" w:after="0" w:line="360" w:lineRule="auto"/>
        <w:jc w:val="both"/>
        <w:rPr>
          <w:rFonts w:ascii="GalanoGrotesque-Light" w:eastAsia="Calibri" w:hAnsi="GalanoGrotesque-Light" w:cs="Times New Roman"/>
          <w:lang w:val="es-ES"/>
        </w:rPr>
      </w:pPr>
    </w:p>
    <w:p w:rsidR="00F301E9" w:rsidRPr="00F301E9" w:rsidRDefault="00F301E9" w:rsidP="00F301E9">
      <w:pPr>
        <w:spacing w:before="60" w:after="0" w:line="360" w:lineRule="auto"/>
        <w:jc w:val="both"/>
        <w:rPr>
          <w:rFonts w:ascii="GalanoGrotesque-Light" w:eastAsia="Calibri" w:hAnsi="GalanoGrotesque-Light" w:cs="Times New Roman"/>
          <w:sz w:val="24"/>
          <w:szCs w:val="24"/>
          <w:lang w:val="es-ES"/>
        </w:rPr>
      </w:pPr>
      <w:r w:rsidRPr="00F301E9">
        <w:rPr>
          <w:rFonts w:ascii="GalanoGrotesque-Light" w:eastAsia="Calibri" w:hAnsi="GalanoGrotesque-Light" w:cs="Times New Roman"/>
          <w:lang w:val="es-ES"/>
        </w:rPr>
        <w:t>De esta manera, se informa y explica la respuesta del gobierno a las condiciones relacionadas con la información financiera del período de gestión; además, de exponer aquellas políticas que podrían afectar la toma de decisiones en períodos posteriores.</w:t>
      </w:r>
    </w:p>
    <w:p w:rsidR="00F301E9" w:rsidRPr="00F301E9" w:rsidRDefault="00F301E9" w:rsidP="00F301E9">
      <w:pPr>
        <w:spacing w:after="0" w:line="360" w:lineRule="auto"/>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Los Estados Financieros del Poder Ejecutivo, se integran con la información que resulta de las operaciones derivadas de la recaudación de ingresos presupuestarios, del ejercicio del gasto público, la colocación y amortización de la deuda pública -incluyendo los gastos por los intereses y comisiones correspondientes-, el manejo y custodia de los recursos propiedad del Poder Ejecutivo o a su cuidado, así como todas aquellas operaciones contables que modifiquen el Patrimonio, considerando en su registro contable las características administrativas descentralizadas. </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En este contexto, en la normativa aplicable se establecen registros que permiten identificar la interrelación de las operaciones.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1.</w:t>
      </w:r>
      <w:r w:rsidRPr="00F301E9">
        <w:rPr>
          <w:rFonts w:ascii="GalanoGrotesque-Light" w:eastAsia="Calibri" w:hAnsi="GalanoGrotesque-Light" w:cs="Times New Roman"/>
          <w:b/>
          <w:lang w:val="es-ES"/>
        </w:rPr>
        <w:tab/>
        <w:t>Autorización e Historia</w:t>
      </w: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a) Fecha de creación:</w:t>
      </w:r>
    </w:p>
    <w:p w:rsidR="00F301E9" w:rsidRPr="00F301E9" w:rsidRDefault="00F301E9" w:rsidP="00F301E9">
      <w:pPr>
        <w:spacing w:before="60" w:after="6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Se creó el Estado Libre y Soberano de Michoacán, al expedirse el Acta Constitutiva de la Federación Mexicana, el 31 de enero de 1824, por decreto de la Cámara Constituyente de la Nación. El 6 de abril del mismo año, se instaló el Congreso Local Constituyente El Estado fue dividido en 4 departamentos y 22 partidos, por decreto de la Ley Territorial de 1825, y el 19 de julio, se contó con su primera Constitución Política.</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día 08 de octubre de 2021 se publica en el Periódico Oficial del Estado la Ley Orgánica de la Administración Pública del Estado de Michoacán de Ocampo.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Actualmente, el Estado comprende 113 Municipios, con autonomía en cuanto a su gobierno interno.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despacho de los asuntos que competen al Gobernador del Estado, se realiza a través de las dependencias y entidades de la Administración Pública Estatal, conforme a la Constitución Política del Estado Libre y Soberano de Michoacán de Ocampo y las leyes que de ella emanen, de acuerdo con el Presupuesto de Egresos del Estado.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b) Principales cambios en su estructura:</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Con fecha 25 de septiembre de 2023, se publicó la última reforma a la Ley Orgánica de la Administración Pública del Estado de Michoacán de Ocampo en la cual, se realizaron cambios sustanciales a las </w:t>
      </w:r>
      <w:r w:rsidRPr="00F301E9">
        <w:rPr>
          <w:rFonts w:ascii="GalanoGrotesque-Light" w:eastAsia="Calibri" w:hAnsi="GalanoGrotesque-Light" w:cs="Times New Roman"/>
          <w:lang w:val="es-ES"/>
        </w:rPr>
        <w:lastRenderedPageBreak/>
        <w:t>dependencias del Ejecutivo Estatal, atendiendo a criterios de austeridad y eficiencia en el gasto público.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15 de febrero de 2022, se publicó el Reglamento Interior de la Secretaría de Finanzas y Administración, en el cual se otorgan y especifican las facultades para la aprobación de los estados financieros y la integración de los informes de avance trimestral y cuenta pública anual de cada ejercicio fiscal. El 12 de diciembre de 2022, se realizaron modificaciones a dicho reglamento, con cambios sustanciales en materia de recaudación, así como la emisión, en la misma fecha, del Manual de Organización de la Secretaría de Finanzas y Administración. La última reforma fue el 29 de diciembre de 2023 donde se realizaron cambios en la organización de la Secretaría de Finanzas y Administración en el Artículo 15 fracción I Subsecretaría de Ingresos queda derogada, la fracción II cambia a Subsecretaría de Finanzas a la que quedan adscritas las siguientes Direcciones: Programación y Presupuesto, Seguimiento a la Inversión Pública, Operación de Fondos y Valores, Operación Financiera, Contabilidad Gubernamental, Fideicomisos y Coordinación Fiscal.</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Instituto Registral y Catastral del Estado de Michoacán de Ocampo; la Unidad de Inteligencia Patrimonial y Económica; así como el Servicio de Administración Tributaria del Estado de Michoacán de Ocampo, como órganos desconcentrados, se ubican en el ámbito orgánico de la Secretaría.</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El 3 de noviembre de 2023 se publicó el </w:t>
      </w:r>
      <w:bookmarkStart w:id="2" w:name="_Hlk166238001"/>
      <w:r w:rsidRPr="00F301E9">
        <w:rPr>
          <w:rFonts w:ascii="GalanoGrotesque-Light" w:eastAsia="Calibri" w:hAnsi="GalanoGrotesque-Light" w:cs="Times New Roman"/>
          <w:lang w:val="es-ES"/>
        </w:rPr>
        <w:t>Manual de Normas y Lineamientos para el Ejercicio y Control del Presupuesto de Egresos del Estado de Michoacán de Ocampo</w:t>
      </w:r>
      <w:bookmarkEnd w:id="2"/>
      <w:r w:rsidRPr="00F301E9">
        <w:rPr>
          <w:rFonts w:ascii="GalanoGrotesque-Light" w:eastAsia="Calibri" w:hAnsi="GalanoGrotesque-Light" w:cs="Times New Roman"/>
          <w:lang w:val="es-ES"/>
        </w:rPr>
        <w:t>, que incluye en sus lineamientos al Documento de Ejecución Presupuestaria y Pago Digital.</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2.- Panorama económico y financiero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Durante el tercer trimestre del año, el Banco de México</w:t>
      </w:r>
      <w:sdt>
        <w:sdtPr>
          <w:rPr>
            <w:rFonts w:ascii="GalanoGrotesque-Light" w:eastAsia="Calibri" w:hAnsi="GalanoGrotesque-Light" w:cs="Times New Roman"/>
            <w:lang w:val="es-ES"/>
          </w:rPr>
          <w:id w:val="-2021852983"/>
          <w:citation/>
        </w:sdtPr>
        <w:sdtContent>
          <w:r w:rsidRPr="00F301E9">
            <w:rPr>
              <w:rFonts w:ascii="GalanoGrotesque-Light" w:eastAsia="Calibri" w:hAnsi="GalanoGrotesque-Light" w:cs="Times New Roman"/>
              <w:lang w:val="es-ES"/>
            </w:rPr>
            <w:fldChar w:fldCharType="begin"/>
          </w:r>
          <w:r w:rsidRPr="00F301E9">
            <w:rPr>
              <w:rFonts w:ascii="GalanoGrotesque-Light" w:eastAsia="Calibri" w:hAnsi="GalanoGrotesque-Light" w:cs="Times New Roman"/>
              <w:lang w:val="es-ES"/>
            </w:rPr>
            <w:instrText xml:space="preserve"> CITATION BAN25 \l 2058 </w:instrText>
          </w:r>
          <w:r w:rsidRPr="00F301E9">
            <w:rPr>
              <w:rFonts w:ascii="GalanoGrotesque-Light" w:eastAsia="Calibri" w:hAnsi="GalanoGrotesque-Light" w:cs="Times New Roman"/>
              <w:lang w:val="es-ES"/>
            </w:rPr>
            <w:fldChar w:fldCharType="separate"/>
          </w:r>
          <w:r w:rsidRPr="00F301E9">
            <w:rPr>
              <w:rFonts w:ascii="GalanoGrotesque-Light" w:eastAsia="Calibri" w:hAnsi="GalanoGrotesque-Light" w:cs="Times New Roman"/>
              <w:lang w:val="es-ES"/>
            </w:rPr>
            <w:t xml:space="preserve"> (BANXICO, 2025)</w:t>
          </w:r>
          <w:r w:rsidRPr="00F301E9">
            <w:rPr>
              <w:rFonts w:ascii="GalanoGrotesque-Light" w:eastAsia="Calibri" w:hAnsi="GalanoGrotesque-Light" w:cs="Times New Roman"/>
              <w:lang w:val="es-ES"/>
            </w:rPr>
            <w:fldChar w:fldCharType="end"/>
          </w:r>
        </w:sdtContent>
      </w:sdt>
      <w:r w:rsidRPr="00F301E9">
        <w:rPr>
          <w:rFonts w:ascii="GalanoGrotesque-Light" w:eastAsia="Calibri" w:hAnsi="GalanoGrotesque-Light" w:cs="Times New Roman"/>
          <w:vertAlign w:val="superscript"/>
          <w:lang w:val="es-ES"/>
        </w:rPr>
        <w:footnoteReference w:id="1"/>
      </w:r>
      <w:r w:rsidRPr="00F301E9">
        <w:rPr>
          <w:rFonts w:ascii="GalanoGrotesque-Light" w:eastAsia="Calibri" w:hAnsi="GalanoGrotesque-Light" w:cs="Times New Roman"/>
          <w:lang w:val="es-ES"/>
        </w:rPr>
        <w:t xml:space="preserve"> en su informe publicado el día 26 de noviembre del año 2025 menciona un debilitamiento mayor al previsto de la actividad económica nacional, reflejado en una desaceleración generalizada de la demanda interna y un desempeño menos dinámico de los principales sectores productivos. En este contexto, el banco central ajustó a la baja sus expectativas de crecimiento económico, destacando que el balance de riesgos para la actividad permanece sesgado a la baja, en un entorno caracterizado por elevada incertidumbre externa y moderada inversión.</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En materia de inflación, el informe destacó que la inflación general continuó registrando una trayectoria descendente, apoyada principalmente por la moderación en los precios de los componentes no subyacentes. No obstante, Banxico señaló que la inflación subyacente permanece en niveles elevados, reflejando la persistencia de presiones en los precios de servicios y algunos bienes, lo que implica que el proceso de desinflación aún enfrenta retos. A pesar de ello, el instituto central reiteró su expectativa de que la inflación converja gradualmente hacia el objetivo permanente de 3%, aunque advirtió que este proceso podría verse afectado por choques tanto internos como externos.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En relación con el sector externo, el Banco de México reportó una mejora en la cuenta corriente de la balanza de pagos, la cual registró un superávit durante el trimestre. Este resultado obedeció, principalmente, a un mayor superávit en el comercio de mercancías no petroleras, así como a una disminución en el déficit del ingreso primario. Dicho desempeño contribuyó a fortalecer la posición externa del país y a mitigar presiones derivadas del entorno internacional.</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En conclusión, el Informe Trimestral del Banco de México correspondiente al tercer trimestre muestra un entorno macroeconómico complejo, caracterizado por un menor dinamismo de la actividad económica, una inflación que avanza de manera gradual hacia su convergencia al objetivo permanente, y un contexto externo que continúa influyendo de forma significativa en el desempeño económico nacional. La revisión a la baja de las expectativas de crecimiento confirma que la economía enfrenta un periodo de ajuste, en el cual la debilidad de la demanda interna y la cautela en la inversión limitan el ritmo de expansión.</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Si bien la inflación general ha mostrado señales de moderación, la persistencia de presiones en la inflación subyacente sugiere que el proceso </w:t>
      </w:r>
      <w:proofErr w:type="spellStart"/>
      <w:r w:rsidRPr="00F301E9">
        <w:rPr>
          <w:rFonts w:ascii="GalanoGrotesque-Light" w:eastAsia="Calibri" w:hAnsi="GalanoGrotesque-Light" w:cs="Times New Roman"/>
          <w:lang w:val="es-ES"/>
        </w:rPr>
        <w:t>desinflacionario</w:t>
      </w:r>
      <w:proofErr w:type="spellEnd"/>
      <w:r w:rsidRPr="00F301E9">
        <w:rPr>
          <w:rFonts w:ascii="GalanoGrotesque-Light" w:eastAsia="Calibri" w:hAnsi="GalanoGrotesque-Light" w:cs="Times New Roman"/>
          <w:lang w:val="es-ES"/>
        </w:rPr>
        <w:t xml:space="preserve"> aún no se ha consolidado plenamente, lo que obliga a mantener una vigilancia estrecha sobre la evolución de los precios. En este sentido, el banco central reafirma la importancia de una conducción prudente de la política monetaria, orientada a preservar la estabilidad de precios sin descuidar las condiciones cíclicas de la economía.</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De acuerdo con el Indicador Trimestral de la Actividad Económica Estatal (ITAEE)</w:t>
      </w:r>
      <w:r w:rsidRPr="00F301E9">
        <w:rPr>
          <w:rFonts w:ascii="GalanoGrotesque-Light" w:eastAsia="Calibri" w:hAnsi="GalanoGrotesque-Light" w:cs="Times New Roman"/>
          <w:vertAlign w:val="superscript"/>
          <w:lang w:val="es-ES"/>
        </w:rPr>
        <w:footnoteReference w:id="2"/>
      </w:r>
      <w:r w:rsidRPr="00F301E9">
        <w:rPr>
          <w:rFonts w:ascii="GalanoGrotesque-Light" w:eastAsia="Calibri" w:hAnsi="GalanoGrotesque-Light" w:cs="Times New Roman"/>
          <w:lang w:val="es-ES"/>
        </w:rPr>
        <w:t>, publicado el día 29 de enero del 2026 por el Instituto Nacional de Estadística y Geografía (INEGI), durante el tercer trimestre de 2025 la actividad económica de Michoacán de Ocampo registró un desempeño positivo en su comparación anual, reflejando una expansión respecto al mismo periodo del año anterior.</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crecimiento observado en la entidad estuvo impulsado principalmente por el dinamismo de las actividades secundarias, que incluyen la industria manufacturera, la construcción y la generación de energía, las cuales mostraron un avance significativo y se consolidaron como el principal motor del crecimiento económico estatal durante el periodo analizado.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En contraste, las actividades primarias, relacionadas con el sector agropecuario, así como las actividades terciarias, vinculadas al comercio y los servicios, presentaron un comportamiento más moderado, con variaciones de menor magnitud, lo que limitó parcialmente el crecimiento agregado de la economía estatal.</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En el contexto regional, el desempeño de Michoacán fue consistente con la evolución económica observada en diversas entidades del país, situándose en una posición intermedia en términos de crecimiento económico estatal. Este resultado evidencia una contribución positiva de la entidad a la actividad económica regional, aunque con retos persistentes en sectores clave de servicios y actividades primarias.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En términos generales, los resultados del ITAEE confirman que la economía de Michoacán mostró una expansión moderada durante el tercer trimestre de 2025, con un crecimiento apoyado en el sector industrial, lo que resalta la importancia de fortalecer políticas orientadas a diversificar la estructura productiva, impulsar la inversión y mejorar el desempeño de los sectores con menor dinamismo, a fin de consolidar un crecimiento más equilibrado y sostenido en el mediano plazo.</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De acuerdo con los resultados de la Encuesta Nacional de Ocupación y Empleo (ENOE)</w:t>
      </w:r>
      <w:r w:rsidRPr="00F301E9">
        <w:rPr>
          <w:rFonts w:ascii="GalanoGrotesque-Light" w:eastAsia="Calibri" w:hAnsi="GalanoGrotesque-Light" w:cs="Times New Roman"/>
          <w:vertAlign w:val="superscript"/>
          <w:lang w:val="es-ES"/>
        </w:rPr>
        <w:footnoteReference w:id="3"/>
      </w:r>
      <w:r w:rsidRPr="00F301E9">
        <w:rPr>
          <w:rFonts w:ascii="GalanoGrotesque-Light" w:eastAsia="Calibri" w:hAnsi="GalanoGrotesque-Light" w:cs="Times New Roman"/>
          <w:lang w:val="es-ES"/>
        </w:rPr>
        <w:t>, cuya publicación se hizo el día 26 de noviembre del 2025 y elaborada por la institución anteriormente mencionada durante el tercer trimestre de 2025 el mercado laboral de Michoacán de Ocampo mostró un comportamiento mixto, con avances en los niveles de ocupación, pero con persistentes retos en materia de calidad del empleo y formalidad laboral. La encuesta ofrece un panorama detallado sobre la situación de la población económicamente activa, las condiciones de empleo y los principales indicadores laborales de la entidad.</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En el periodo analizado, la población económicamente activa del estado se ubicó en alrededor de 2.3 millones de personas, de las cuales aproximadamente 2.2 millones se encontraban ocupadas. Esta cifra representó un incremento respecto al mismo trimestre del año anterior, reflejando una expansión moderada del empleo en la entidad. El aumento en la ocupación se concentró principalmente en actividades del sector terciario, como comercio y servicios, mientras que algunos segmentos de los servicios profesionales y financieros mostraron una menor generación de empleo.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La tasa de desocupación se situó en niveles bajos en comparación con periodos previos, lo que indica una mejora relativa en el acceso al empleo para la población económicamente activa. Asimismo, la subocupación, que considera a las personas que trabajan menos horas de las que desearían, mostró una disminución en términos anuales, lo que sugiere una ligera mejora en la utilización de la fuerza laboral. No obstante, el número de personas </w:t>
      </w:r>
      <w:proofErr w:type="spellStart"/>
      <w:r w:rsidRPr="00F301E9">
        <w:rPr>
          <w:rFonts w:ascii="GalanoGrotesque-Light" w:eastAsia="Calibri" w:hAnsi="GalanoGrotesque-Light" w:cs="Times New Roman"/>
          <w:lang w:val="es-ES"/>
        </w:rPr>
        <w:t>subocupadas</w:t>
      </w:r>
      <w:proofErr w:type="spellEnd"/>
      <w:r w:rsidRPr="00F301E9">
        <w:rPr>
          <w:rFonts w:ascii="GalanoGrotesque-Light" w:eastAsia="Calibri" w:hAnsi="GalanoGrotesque-Light" w:cs="Times New Roman"/>
          <w:lang w:val="es-ES"/>
        </w:rPr>
        <w:t xml:space="preserve"> continuó siendo relevante, lo que evidencia que una parte de la población ocupada enfrenta limitaciones en la cantidad de horas trabajadas y en sus ingresos.</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En conjunto, los resultados de la ENOE para Michoacán durante el tercer trimestre de 2025 muestran un mercado laboral con avances en términos de ocupación y reducción de la desocupación, pero con desafíos estructurales persistentes relacionados con la informalidad, los bajos ingresos y la calidad del empleo. Este escenario subraya la necesidad de fortalecer políticas públicas orientadas a la generación de empleo formal, la mejora de las condiciones laborales y el impulso a la productividad, con el objetivo de consolidar un mercado de trabajo más inclusivo y sostenible en el mediano plazo.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3.</w:t>
      </w:r>
      <w:r w:rsidRPr="00F301E9">
        <w:rPr>
          <w:rFonts w:ascii="GalanoGrotesque-Light" w:eastAsia="Calibri" w:hAnsi="GalanoGrotesque-Light" w:cs="Times New Roman"/>
          <w:b/>
          <w:lang w:val="es-ES"/>
        </w:rPr>
        <w:tab/>
        <w:t>Organización y Objeto Social</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Se informa sobre:</w:t>
      </w: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lastRenderedPageBreak/>
        <w:t>a) Objeto Social</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Gobierno de Michoacán tiene como objetivo la administración pública, el manejo de la hacienda pública, recaudando los ingresos estatales y destinándolos al gasto público, para coadyuvar en la generación del bienestar de las personas en el Estado de Michoacán de Ocampo, con particular atención a los grupos históricamente vulnerados, considerando las diferencias, por edad, sexo, orientación sexual, discapacidad, etnias y vulnerabilidad económica y cualquier otra forma de vulnerabilidad; a fin de promover condiciones que permitan aumentar su grado de inclusión y equidad en la sociedad a través del diseño y ejecución de programas para el bienestar.</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Lo anterior con la visión de consolidar al Gobierno de Michoacán como un gobierno donde el bienestar de su población sea el eje rector de las políticas y programas públicos, a fin de que todas las personas y en especial los grupos históricamente vulnerados, puedan ejercer y acceder de manera efectiva y directa a sus derechos.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b)  Principal Actividad:</w:t>
      </w: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p>
    <w:p w:rsidR="00F301E9" w:rsidRPr="00F301E9" w:rsidRDefault="00F301E9" w:rsidP="00F301E9">
      <w:pPr>
        <w:spacing w:before="60" w:after="6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Administrar con calidad y eficiencia el sistema de ingresos, el ejercicio del gasto y la deuda pública, aplicando correcta y equitativamente las leyes y normas vigentes y contribuyendo el desarrollo económico del Estado.</w:t>
      </w: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c) Ejercicio Fiscal</w:t>
      </w:r>
    </w:p>
    <w:p w:rsidR="00F301E9" w:rsidRPr="00F301E9" w:rsidRDefault="00F301E9" w:rsidP="00F301E9">
      <w:pPr>
        <w:spacing w:before="60" w:after="6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Se informa el periodo del 1 de enero al 31 de diciembre de 2025.</w:t>
      </w: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d) Régimen Jurídico</w:t>
      </w: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El Estado de Michoacán es un estado independiente, libre y soberano, en lo que exclusivamente toque a su administración y gobierno interior, que forma parte de la Federación de Estados Independientes </w:t>
      </w:r>
      <w:r w:rsidRPr="00F301E9">
        <w:rPr>
          <w:rFonts w:ascii="GalanoGrotesque-Light" w:eastAsia="Calibri" w:hAnsi="GalanoGrotesque-Light" w:cs="Times New Roman"/>
          <w:lang w:val="es-ES"/>
        </w:rPr>
        <w:lastRenderedPageBreak/>
        <w:t xml:space="preserve">denominados Estados Unidos Mexicanos y está constituido por la porción de territorio nacional que le reconozcan la Constitución Federal, las leyes y los convenios. </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Código Civil Federal reconoce a los estados como personas morales, por lo que el Estado de Michoacán de Ocampo, se reconoce en materia civil como una persona moral.</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Poder Público del Estado se divide para su ejercicio en Ejecutivo, Legislativo y Judicial, los cuales actuarán separada y libremente, pero cooperando, en forma armónica, a la realización de los fines del Estado.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Se deposita el ejercicio del Poder Legislativo en una asamblea que se denominará: Congreso del Estado de Michoacán de Ocampo.</w:t>
      </w:r>
    </w:p>
    <w:p w:rsidR="00F301E9" w:rsidRPr="00F301E9" w:rsidRDefault="00F301E9" w:rsidP="00F301E9">
      <w:pPr>
        <w:spacing w:after="0" w:line="360" w:lineRule="auto"/>
        <w:jc w:val="both"/>
        <w:rPr>
          <w:rFonts w:ascii="GalanoGrotesque-Light" w:eastAsia="Calibri" w:hAnsi="GalanoGrotesque-Light" w:cs="Times New Roman"/>
          <w:b/>
          <w:bCs/>
          <w:lang w:val="es-ES"/>
        </w:rPr>
      </w:pP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e). Consideraciones fiscales del ente: revelar el tipo de contribuciones que esté obligado a pagar o retener.</w:t>
      </w: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Por lo que se refiere a las obligaciones fiscales federales que tiene el Gobierno del Estado, respecto del Impuesto sobre la Renta, le dan el carácter de retenedor y está obligado a enterar dicho Impuesto en lo referente a los Capítulos I, II y III del Título IV de la Ley de la materia, relativos a: Ingresos por Salarios, Ingresos por Actividades Empresariales y Profesionales, Régimen Simplificado de Confianza e Ingresos por Arrendamiento de Bienes Inmuebles y en General por Otorgar el Uso o Goce Temporal de Bienes Inmuebles, respectivamente.</w:t>
      </w:r>
    </w:p>
    <w:p w:rsidR="00F301E9" w:rsidRPr="00F301E9" w:rsidRDefault="00F301E9" w:rsidP="00F301E9">
      <w:pPr>
        <w:spacing w:after="0" w:line="360" w:lineRule="auto"/>
        <w:ind w:left="709"/>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Gobierno del Estado Libre y Soberano de Michoacán de Ocampo, es sujeto indirecto del Impuesto al Valor Agregado, es decir, está obligado a aceptar la traslación de dicho impuesto en la adquisición de bienes y servicios, considerándolo como parte integrante del costo y registrándolo como gasto o inversión según corresponda.</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Así mismo, el Estado es sujeto de las Contribuciones de Seguridad Social, con motivo de la relación laboral que mantiene con los trabajadores a su servicio, tanto a favor del Instituto Mexicano del Seguro Social,</w:t>
      </w:r>
      <w:r w:rsidRPr="00F301E9">
        <w:rPr>
          <w:rFonts w:ascii="GalanoGrotesque-Light" w:eastAsia="Calibri" w:hAnsi="GalanoGrotesque-Light" w:cs="Times New Roman"/>
          <w:sz w:val="24"/>
          <w:szCs w:val="24"/>
          <w:lang w:val="es-ES"/>
        </w:rPr>
        <w:t xml:space="preserve"> </w:t>
      </w:r>
      <w:r w:rsidRPr="00F301E9">
        <w:rPr>
          <w:rFonts w:ascii="GalanoGrotesque-Light" w:eastAsia="Calibri" w:hAnsi="GalanoGrotesque-Light" w:cs="Times New Roman"/>
          <w:lang w:val="es-ES"/>
        </w:rPr>
        <w:t>la Dirección de Pensiones Civiles del Estado, como del Instituto de Seguridad y Servicios Sociales de los Trabajadores del Estado, conforme a las disposiciones legales aplicables y los convenios respectivos.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Igualmente, es sujeto de diversas contribuciones locales, tales como: el Impuesto Predial por aquellos inmuebles de dominio privado y el de Adquisición de Bienes Inmuebles al realizar compras para su uso de dominio privado; y del Impuesto sobre Erogaciones por Remuneración al Trabajo Personal Prestado Bajo la Dirección y Dependencia de un Patrón, entre otros.</w:t>
      </w:r>
    </w:p>
    <w:p w:rsidR="00F301E9" w:rsidRPr="00F301E9" w:rsidRDefault="00F301E9" w:rsidP="00F301E9">
      <w:pPr>
        <w:spacing w:after="0" w:line="360" w:lineRule="auto"/>
        <w:ind w:firstLine="360"/>
        <w:jc w:val="both"/>
        <w:rPr>
          <w:rFonts w:ascii="GalanoGrotesque-Light" w:eastAsia="Calibri" w:hAnsi="GalanoGrotesque-Light" w:cs="Times New Roman"/>
          <w:lang w:val="es-ES"/>
        </w:rPr>
      </w:pP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f) Estructura organizacional básica</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gobierno del Estado de Michoacán tiene al Frente a un Gobernador, el cual es el titular del Poder Ejecutivo que a su vez cuenta con Dependencias centralizadas, desconcentradas y entidades paraestatales, de conformidad con la normativa aplicable.</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Las Dependencias centralizadas forman parte de la estructura organizacional y sirven para el despacho de los negocios del orden administrativo encomendados al Gobernador, como se detallan a continuación:</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Gobierno;</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Finanzas y Administración;</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Comunicaciones y Obras Públicas;</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Agricultura y Desarrollo Rural;</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Desarrollo Económico;</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Turismo;</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Educación;</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del Migrante;</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Seguridad Pública;</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 Secretaría de Contraloría;</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del Bienestar;</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Cultura;</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Secretariado Ejecutivo del Sistema Estatal de Seguridad Pública;</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Procuraduría de Protección al Ambiente del Estado de Michoacán de Ocampo;</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Tribunal de Conciliación y Arbitraje;</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Igualdad Sustantiva y Desarrollo de las Mujeres Michoacanas.</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Ejecutiva del Sistema Estatal de protección Integral de Niñas, Niños y Adolescentes de Michoacán;</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Coordinación del Sistema Penitenciario del estado de Michoacán de Ocampo;</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 Desarrollo Urbano y Movilidad;</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Secretaría del Medio Ambiente;</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Centro Estatal para el desarrollo Municipal;</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Servicio de Administración Tributaria del Estado de Michoacán; e,</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Instituto del Transporte del Estado de Michoacán de Ocampo.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Cada una de estas Dependencias está organizada de tal forma que permitan el correcto funcionamiento de la Administración Pública Estatal.</w:t>
      </w:r>
    </w:p>
    <w:p w:rsidR="00F301E9" w:rsidRPr="00F301E9" w:rsidRDefault="00F301E9" w:rsidP="00F301E9">
      <w:pPr>
        <w:spacing w:after="0" w:line="360" w:lineRule="auto"/>
        <w:jc w:val="both"/>
        <w:rPr>
          <w:rFonts w:ascii="GalanoGrotesque-Light" w:eastAsia="Calibri" w:hAnsi="GalanoGrotesque-Light" w:cs="Times New Roman"/>
          <w:b/>
          <w:bCs/>
          <w:lang w:val="es-ES"/>
        </w:rPr>
      </w:pP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g) Fideicomisos, mandatos y análogos de los cuales es fideicomisario.</w:t>
      </w:r>
    </w:p>
    <w:p w:rsidR="00F301E9" w:rsidRPr="00F301E9" w:rsidRDefault="00F301E9" w:rsidP="00F301E9">
      <w:pPr>
        <w:spacing w:after="0" w:line="360" w:lineRule="auto"/>
        <w:ind w:firstLine="360"/>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Los fideicomisos, mandatos y análogos de los cuales el Gobierno del Estado de Michoacán es fideicomisario, se detallan en el punto 8 de la Notas de Gestión y 6 de las Notas de desglose al Estado de Situación Financiera.</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4.</w:t>
      </w:r>
      <w:r w:rsidRPr="00F301E9">
        <w:rPr>
          <w:rFonts w:ascii="GalanoGrotesque-Light" w:eastAsia="Calibri" w:hAnsi="GalanoGrotesque-Light" w:cs="Times New Roman"/>
          <w:b/>
          <w:lang w:val="es-ES"/>
        </w:rPr>
        <w:tab/>
        <w:t>Bases de Preparación de los Estados Financieros.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a) Si se ha observado la normatividad emitida por el CONAC y las disposiciones legales aplicables.</w:t>
      </w: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A partir de 2009 hasta la fecha, el Consejo Nacional de Armonización Contable ha emitido diversas disposiciones regulatorias en materia de contabilidad gubernamental estableciéndose</w:t>
      </w:r>
      <w:r w:rsidRPr="00F301E9">
        <w:rPr>
          <w:rFonts w:ascii="GalanoGrotesque-Light" w:eastAsia="Calibri" w:hAnsi="GalanoGrotesque-Light" w:cs="Times New Roman"/>
          <w:color w:val="C00000"/>
          <w:lang w:val="es-ES"/>
        </w:rPr>
        <w:t xml:space="preserve"> </w:t>
      </w:r>
      <w:r w:rsidRPr="00F301E9">
        <w:rPr>
          <w:rFonts w:ascii="GalanoGrotesque-Light" w:eastAsia="Calibri" w:hAnsi="GalanoGrotesque-Light" w:cs="Times New Roman"/>
          <w:lang w:val="es-ES"/>
        </w:rPr>
        <w:t xml:space="preserve">diversas fechas para el inicio de su aplicación efectiva. Consecuentemente a partir de las fechas señaladas, se tiene la obligación de emitir información contable, presupuestaria y programática sobre la base técnica prevista en los documentos técnico-contables siguientes: </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val="en-US" w:eastAsia="es-MX"/>
        </w:rPr>
        <w:t>Marco Conceptual</w:t>
      </w:r>
    </w:p>
    <w:p w:rsidR="00F301E9" w:rsidRPr="00F301E9" w:rsidRDefault="00F301E9" w:rsidP="00F301E9">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val="es-ES" w:eastAsia="es-MX"/>
        </w:rPr>
        <w:t xml:space="preserve">Postulados Básicos de </w:t>
      </w:r>
      <w:proofErr w:type="spellStart"/>
      <w:r w:rsidRPr="00F301E9">
        <w:rPr>
          <w:rFonts w:ascii="GalanoGrotesque-Light" w:eastAsia="Times New Roman" w:hAnsi="GalanoGrotesque-Light" w:cs="Times New Roman"/>
          <w:lang w:val="en-US" w:eastAsia="es-MX"/>
        </w:rPr>
        <w:t>Contabilidad</w:t>
      </w:r>
      <w:proofErr w:type="spellEnd"/>
      <w:r w:rsidRPr="00F301E9">
        <w:rPr>
          <w:rFonts w:ascii="GalanoGrotesque-Light" w:eastAsia="Times New Roman" w:hAnsi="GalanoGrotesque-Light" w:cs="Times New Roman"/>
          <w:lang w:val="es-ES" w:eastAsia="es-MX"/>
        </w:rPr>
        <w:t xml:space="preserve"> Gubernamental</w:t>
      </w:r>
    </w:p>
    <w:p w:rsidR="00F301E9" w:rsidRPr="00F301E9" w:rsidRDefault="00F301E9" w:rsidP="00F301E9">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eastAsia="es-MX"/>
        </w:rPr>
        <w:t>Clasificador</w:t>
      </w:r>
      <w:r w:rsidRPr="00F301E9">
        <w:rPr>
          <w:rFonts w:ascii="GalanoGrotesque-Light" w:eastAsia="Times New Roman" w:hAnsi="GalanoGrotesque-Light" w:cs="Times New Roman"/>
          <w:lang w:val="es-ES" w:eastAsia="es-MX"/>
        </w:rPr>
        <w:t xml:space="preserve"> por Objeto del Gasto</w:t>
      </w:r>
    </w:p>
    <w:p w:rsidR="00F301E9" w:rsidRPr="00F301E9" w:rsidRDefault="00F301E9" w:rsidP="00F301E9">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val="es-ES" w:eastAsia="es-MX"/>
        </w:rPr>
        <w:t>Clasificador por Tipo de Gasto</w:t>
      </w:r>
    </w:p>
    <w:p w:rsidR="00F301E9" w:rsidRPr="00F301E9" w:rsidRDefault="00F301E9" w:rsidP="00F301E9">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val="es-ES" w:eastAsia="es-MX"/>
        </w:rPr>
        <w:t>Clasificador por Rubros de Ingresos</w:t>
      </w:r>
    </w:p>
    <w:p w:rsidR="00F301E9" w:rsidRPr="00F301E9" w:rsidRDefault="00F301E9" w:rsidP="00F301E9">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n-US" w:eastAsia="es-MX"/>
        </w:rPr>
      </w:pPr>
      <w:r w:rsidRPr="00F301E9">
        <w:rPr>
          <w:rFonts w:ascii="GalanoGrotesque-Light" w:eastAsia="Times New Roman" w:hAnsi="GalanoGrotesque-Light" w:cs="Times New Roman"/>
          <w:lang w:val="en-US" w:eastAsia="es-MX"/>
        </w:rPr>
        <w:t>Plan de</w:t>
      </w:r>
      <w:r w:rsidRPr="00F301E9">
        <w:rPr>
          <w:rFonts w:ascii="GalanoGrotesque-Light" w:eastAsia="Times New Roman" w:hAnsi="GalanoGrotesque-Light" w:cs="Times New Roman"/>
          <w:lang w:val="es-ES" w:eastAsia="es-MX"/>
        </w:rPr>
        <w:t xml:space="preserve"> Cuentas</w:t>
      </w:r>
      <w:r w:rsidRPr="00F301E9">
        <w:rPr>
          <w:rFonts w:ascii="GalanoGrotesque-Light" w:eastAsia="Times New Roman" w:hAnsi="GalanoGrotesque-Light" w:cs="Times New Roman"/>
          <w:lang w:val="en-US" w:eastAsia="es-MX"/>
        </w:rPr>
        <w:t xml:space="preserve"> de </w:t>
      </w:r>
      <w:r w:rsidRPr="00F301E9">
        <w:rPr>
          <w:rFonts w:ascii="GalanoGrotesque-Light" w:eastAsia="Times New Roman" w:hAnsi="GalanoGrotesque-Light" w:cs="Times New Roman"/>
          <w:lang w:val="es-ES" w:eastAsia="es-MX"/>
        </w:rPr>
        <w:t>Contabilidad</w:t>
      </w:r>
    </w:p>
    <w:p w:rsidR="00F301E9" w:rsidRPr="00F301E9" w:rsidRDefault="00F301E9" w:rsidP="00F301E9">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val="es-ES" w:eastAsia="es-MX"/>
        </w:rPr>
        <w:t>Momentos Contables de los Egresos</w:t>
      </w:r>
    </w:p>
    <w:p w:rsidR="00F301E9" w:rsidRPr="00F301E9" w:rsidRDefault="00F301E9" w:rsidP="00F301E9">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n-US" w:eastAsia="es-MX"/>
        </w:rPr>
      </w:pPr>
      <w:proofErr w:type="spellStart"/>
      <w:r w:rsidRPr="00F301E9">
        <w:rPr>
          <w:rFonts w:ascii="GalanoGrotesque-Light" w:eastAsia="Times New Roman" w:hAnsi="GalanoGrotesque-Light" w:cs="Times New Roman"/>
          <w:lang w:val="en-US" w:eastAsia="es-MX"/>
        </w:rPr>
        <w:t>Momentos</w:t>
      </w:r>
      <w:proofErr w:type="spellEnd"/>
      <w:r w:rsidRPr="00F301E9">
        <w:rPr>
          <w:rFonts w:ascii="GalanoGrotesque-Light" w:eastAsia="Times New Roman" w:hAnsi="GalanoGrotesque-Light" w:cs="Times New Roman"/>
          <w:lang w:val="en-US" w:eastAsia="es-MX"/>
        </w:rPr>
        <w:t xml:space="preserve"> </w:t>
      </w:r>
      <w:r w:rsidRPr="00F301E9">
        <w:rPr>
          <w:rFonts w:ascii="GalanoGrotesque-Light" w:eastAsia="Times New Roman" w:hAnsi="GalanoGrotesque-Light" w:cs="Times New Roman"/>
          <w:lang w:val="es-ES" w:eastAsia="es-MX"/>
        </w:rPr>
        <w:t>Contables</w:t>
      </w:r>
      <w:r w:rsidRPr="00F301E9">
        <w:rPr>
          <w:rFonts w:ascii="GalanoGrotesque-Light" w:eastAsia="Times New Roman" w:hAnsi="GalanoGrotesque-Light" w:cs="Times New Roman"/>
          <w:lang w:val="en-US" w:eastAsia="es-MX"/>
        </w:rPr>
        <w:t xml:space="preserve"> de </w:t>
      </w:r>
      <w:proofErr w:type="spellStart"/>
      <w:r w:rsidRPr="00F301E9">
        <w:rPr>
          <w:rFonts w:ascii="GalanoGrotesque-Light" w:eastAsia="Times New Roman" w:hAnsi="GalanoGrotesque-Light" w:cs="Times New Roman"/>
          <w:lang w:val="en-US" w:eastAsia="es-MX"/>
        </w:rPr>
        <w:t>los</w:t>
      </w:r>
      <w:proofErr w:type="spellEnd"/>
      <w:r w:rsidRPr="00F301E9">
        <w:rPr>
          <w:rFonts w:ascii="GalanoGrotesque-Light" w:eastAsia="Times New Roman" w:hAnsi="GalanoGrotesque-Light" w:cs="Times New Roman"/>
          <w:lang w:val="en-US" w:eastAsia="es-MX"/>
        </w:rPr>
        <w:t xml:space="preserve"> </w:t>
      </w:r>
      <w:proofErr w:type="spellStart"/>
      <w:r w:rsidRPr="00F301E9">
        <w:rPr>
          <w:rFonts w:ascii="GalanoGrotesque-Light" w:eastAsia="Times New Roman" w:hAnsi="GalanoGrotesque-Light" w:cs="Times New Roman"/>
          <w:lang w:val="en-US" w:eastAsia="es-MX"/>
        </w:rPr>
        <w:t>Ingresos</w:t>
      </w:r>
      <w:proofErr w:type="spellEnd"/>
    </w:p>
    <w:p w:rsidR="00F301E9" w:rsidRPr="00F301E9" w:rsidRDefault="00F301E9" w:rsidP="00F301E9">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n-US" w:eastAsia="es-MX"/>
        </w:rPr>
      </w:pPr>
      <w:r w:rsidRPr="00F301E9">
        <w:rPr>
          <w:rFonts w:ascii="GalanoGrotesque-Light" w:eastAsia="Times New Roman" w:hAnsi="GalanoGrotesque-Light" w:cs="Times New Roman"/>
          <w:lang w:val="en-US" w:eastAsia="es-MX"/>
        </w:rPr>
        <w:t xml:space="preserve">Manual de </w:t>
      </w:r>
      <w:proofErr w:type="spellStart"/>
      <w:r w:rsidRPr="00F301E9">
        <w:rPr>
          <w:rFonts w:ascii="GalanoGrotesque-Light" w:eastAsia="Times New Roman" w:hAnsi="GalanoGrotesque-Light" w:cs="Times New Roman"/>
          <w:lang w:val="en-US" w:eastAsia="es-MX"/>
        </w:rPr>
        <w:t>Contabilidad</w:t>
      </w:r>
      <w:proofErr w:type="spellEnd"/>
      <w:r w:rsidRPr="00F301E9">
        <w:rPr>
          <w:rFonts w:ascii="GalanoGrotesque-Light" w:eastAsia="Times New Roman" w:hAnsi="GalanoGrotesque-Light" w:cs="Times New Roman"/>
          <w:lang w:val="en-US" w:eastAsia="es-MX"/>
        </w:rPr>
        <w:t xml:space="preserve"> </w:t>
      </w:r>
      <w:proofErr w:type="spellStart"/>
      <w:r w:rsidRPr="00F301E9">
        <w:rPr>
          <w:rFonts w:ascii="GalanoGrotesque-Light" w:eastAsia="Times New Roman" w:hAnsi="GalanoGrotesque-Light" w:cs="Times New Roman"/>
          <w:lang w:val="en-US" w:eastAsia="es-MX"/>
        </w:rPr>
        <w:t>Gubernamental</w:t>
      </w:r>
      <w:proofErr w:type="spellEnd"/>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lang w:val="en-US" w:eastAsia="es-MX"/>
        </w:rPr>
      </w:pPr>
    </w:p>
    <w:p w:rsidR="00F301E9" w:rsidRPr="00F301E9" w:rsidRDefault="00F301E9" w:rsidP="00F301E9">
      <w:pPr>
        <w:tabs>
          <w:tab w:val="left" w:pos="709"/>
        </w:tabs>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La Ley de Planeación Hacendaria, Presupuesto, Gasto Público y Contabilidad Gubernamental del Estado de Michoacán de Ocampo, en su artículo 91, establece que la contabilidad gubernamental de los gobiernos Estatal y Municipales será la fuente para la formulación de la Cuenta Pública y los informes periódicos, que deberán constituirse con los estados financieros elaborados con las características que estipulan la Ley General de Contabilidad Gubernamental y las normas y lineamientos emitidos por el Consejo Nacional de Armonización Contable, con los informes que determine la Auditoría Superior de Michoacán en coordinación con la Secretaría y las Tesorerías Municipales correspondientes. </w:t>
      </w:r>
    </w:p>
    <w:p w:rsidR="00F301E9" w:rsidRPr="00F301E9" w:rsidRDefault="00F301E9" w:rsidP="00F301E9">
      <w:pPr>
        <w:tabs>
          <w:tab w:val="left" w:pos="709"/>
        </w:tabs>
        <w:spacing w:after="0" w:line="360" w:lineRule="auto"/>
        <w:jc w:val="both"/>
        <w:rPr>
          <w:rFonts w:ascii="GalanoGrotesque-Light" w:eastAsia="Calibri" w:hAnsi="GalanoGrotesque-Light" w:cs="Times New Roman"/>
          <w:lang w:val="es-ES"/>
        </w:rPr>
      </w:pPr>
    </w:p>
    <w:p w:rsidR="00F301E9" w:rsidRPr="00F301E9" w:rsidRDefault="00F301E9" w:rsidP="00F301E9">
      <w:pPr>
        <w:tabs>
          <w:tab w:val="left" w:pos="709"/>
        </w:tabs>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En ese sentido, la Administración Pública Central del Gobierno del Estado de Michoacán de Ocampo adopta las políticas de contabilidad </w:t>
      </w:r>
      <w:r w:rsidRPr="00F301E9">
        <w:rPr>
          <w:rFonts w:ascii="GalanoGrotesque-Light" w:eastAsia="Calibri" w:hAnsi="GalanoGrotesque-Light" w:cs="Times New Roman"/>
          <w:lang w:val="es-ES"/>
        </w:rPr>
        <w:lastRenderedPageBreak/>
        <w:t>de las disposiciones anteriormente citadas para la elaboración de sus estados financieros y la presentación de informes periódicos.</w:t>
      </w: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b)  Normatividad.</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La información que se presenta, corresponde a la Administración Pública Central del Gobierno del Estado Libre y Soberano de Michoacán de Ocampo y contiene la situación financiera, los resultados de operación, las variaciones en la Hacienda Pública, y los flujos de efectivo con las Entidades de la Administración Pública, misma que se elaboró con base a la Ley General de Contabilidad Gubernamental, la normatividad emitida tanto por el Consejo Nacional de Armonización Contable, como por el Consejo Estatal de Armonización Contable, la Ley de Planeación Hacendaria, Presupuesto, Gasto Público y Contabilidad Gubernamental del Estado de Michoacán de Ocampo, así como con apego al Decreto del Presupuesto de Egresos Estatal y la Ley de Ingresos para el ejercicio fiscal 2025 y las demás disposiciones normativas y jurídicas vigentes para el Estado de Michoacán de Ocampo.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Sabiendo que los elementos que configuran el Sistema de Contabilidad Gubernamental tienen incidencia en la identificación, el análisis, la interpretación y el reconocimiento de las transacciones y otros eventos que influyen en los entes públicos, los postulados básicos y los momentos contables del ingreso, gasto y financiamiento, sustentan de manera técnica el registro de las operaciones, la elaboración y presentación de los estados financieros basados en su razonamiento, eficiencia y eficacia demostradas, respaldados en la legislación federal y local; con lo cual, se garantiza su transparencia, así como la comparación de la información financiera presentada.</w:t>
      </w:r>
    </w:p>
    <w:p w:rsidR="00F301E9" w:rsidRPr="00F301E9" w:rsidRDefault="00F301E9" w:rsidP="00F301E9">
      <w:pPr>
        <w:spacing w:after="0" w:line="360" w:lineRule="auto"/>
        <w:ind w:left="709"/>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Para el periodo que se informa de este año de 2025, se han observado puntualmente las disposiciones contenidas en la Ley de Planeación Hacendaria, Presupuesto, Gasto Público y Contabilidad Gubernamental </w:t>
      </w:r>
      <w:r w:rsidRPr="00F301E9">
        <w:rPr>
          <w:rFonts w:ascii="GalanoGrotesque-Light" w:eastAsia="Calibri" w:hAnsi="GalanoGrotesque-Light" w:cs="Times New Roman"/>
          <w:lang w:val="es-ES"/>
        </w:rPr>
        <w:lastRenderedPageBreak/>
        <w:t>del Estado de Michoacán de Ocampo, el Decreto que Contiene el Presupuesto de Egresos del Gobierno del Estado de Michoacán de Ocampo para el Ejercicio Fiscal del Año 2025, así como en la Ley de Ingresos del Estado de Michoacán de Ocampo para el mismo ejercicio y demás disposiciones fiscales, jurídicas y administrativas relacionadas con el manejo de los ingresos y del ejercicio del presupuesto de egresos del Gobierno del Estado.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Considerando lo anterior, los registros contables se realizan con base acumulativa y la contabilización de las transacciones del gasto se efectúa conforme a la fecha de su realización, independientemente de la de su pago y la del ingreso se registra cuando existe jurídicamente el derecho de cobro, lo que facilita la formulación de los estados financieros y demás informes que permiten conocer la Situación Financiera y el Resultado de la Gestión Financiera (Estado de Actividades), además de permitir la evaluación del ejercicio del gasto público conforme a los programas, objetivos, metas y unidades responsables de su ejecución, de acuerdo a lo dispuesto en los artículos 33, 34, 35 y 36 de la Ley General de Contabilidad Gubernamental, así como los artículos 66 y 86 de la Ley de Planeación Hacendaria, Presupuesto, Gasto Público y Contabilidad Gubernamental del Estado de Michoacán de Ocampo, y del Postulado Básico de Contabilidad Gubernamental en lo que se refiere a la consistencia.</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En la contabilidad de la Hacienda Pública Estatal, con fundamento en lo establecido en el artículo 88 fracción III de la Ley de Planeación Hacendaria, Presupuesto, Gasto Público y Contabilidad Gubernamental del Estado De Michoacán, se muestran los estados analíticos sobre deuda pública, los cuales tienen como finalidad realizar periódicamente el seguimiento del ejercicio de los egresos presupuestarios.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proofErr w:type="gramStart"/>
      <w:r w:rsidRPr="00F301E9">
        <w:rPr>
          <w:rFonts w:ascii="GalanoGrotesque-Light" w:eastAsia="Calibri" w:hAnsi="GalanoGrotesque-Light" w:cs="Times New Roman"/>
          <w:b/>
          <w:lang w:val="es-ES"/>
        </w:rPr>
        <w:t>c)</w:t>
      </w:r>
      <w:proofErr w:type="gramEnd"/>
      <w:r w:rsidRPr="00F301E9">
        <w:rPr>
          <w:rFonts w:ascii="GalanoGrotesque-Light" w:eastAsia="Calibri" w:hAnsi="GalanoGrotesque-Light" w:cs="Times New Roman"/>
          <w:b/>
          <w:lang w:val="es-ES"/>
        </w:rPr>
        <w:t>. Postulados básicos de Contabilidad Gubernamental.</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Las Políticas Contables de la Administración Pública Central del Gobierno del Estado Libre y Soberano de Michoacán de Ocampo;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lo afectan. Estos postulados, son los aprobados por el Consejo Nacional de Armonización Contable.</w:t>
      </w: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d) Normatividad Supletoria</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No se aplica normatividad de manera supletoria para la elaboración de los Estados Financieros.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e) Entidades que por primera vez apliquen la base del devengado</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Este punto no aplica para el Gobierno del Estado de Michoacán.</w:t>
      </w: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5.- Políticas de Contabilidad Significativas.</w:t>
      </w:r>
    </w:p>
    <w:p w:rsidR="00F301E9" w:rsidRPr="00F301E9" w:rsidRDefault="00F301E9" w:rsidP="00F301E9">
      <w:pPr>
        <w:spacing w:before="60" w:after="60" w:line="360" w:lineRule="auto"/>
        <w:ind w:left="709"/>
        <w:jc w:val="both"/>
        <w:rPr>
          <w:rFonts w:ascii="GalanoGrotesque-Light" w:eastAsia="Calibri" w:hAnsi="GalanoGrotesque-Light" w:cs="Times New Roman"/>
          <w:szCs w:val="24"/>
          <w:lang w:val="es-ES"/>
        </w:rPr>
      </w:pPr>
      <w:r w:rsidRPr="00F301E9">
        <w:rPr>
          <w:rFonts w:ascii="GalanoGrotesque-Light" w:eastAsia="Calibri" w:hAnsi="GalanoGrotesque-Light" w:cs="Times New Roman"/>
          <w:b/>
          <w:lang w:val="es-ES"/>
        </w:rPr>
        <w:t xml:space="preserve">a) Actualización: </w:t>
      </w: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Activos.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Con el  propósito de dar cumplimiento a los Artículos 46, 47 y 49 de la Ley de General de Contabilidad Gubernamental (LGCG), y el Acuerdo por el que se emiten los Postulados Básicos de Contabilidad Gubernamental, como son Revelación Suficiente e Importancia Relativa, que sustentan de manera técnica el registro de las operaciones, la elaboración y presentación de los estados financieros; basados en su razonamientos, eficiencia demostrada, respaldo en legislación especializada y aplicada la LGCG, con la finalidad de uniformar los métodos, procedimientos y prácticas contables del Artículo 23 al 32 de la LGCG, asimismo lo establece el Acuerdo por el que se determina la norma de información financiera para precisar los alcances del Acuerdo 1 aprobado por el Consejo Nacional de Armonización Contable (CONAC), en reunión del 3 de mayo </w:t>
      </w:r>
      <w:r w:rsidRPr="00F301E9">
        <w:rPr>
          <w:rFonts w:ascii="GalanoGrotesque-Light" w:eastAsia="Calibri" w:hAnsi="GalanoGrotesque-Light" w:cs="Times New Roman"/>
          <w:bCs/>
          <w:lang w:val="es-ES"/>
        </w:rPr>
        <w:lastRenderedPageBreak/>
        <w:t>de 2013 publicado el 16 de mayo 2013, de la misma forma la Normatividad Estatal.</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Se sigue realizando el inventario físico con las verificaciones periódicas que realiza la Dirección de Patrimonio Estatal, de las existencias de los bienes muebles e inmuebles, con que cuenta el ente público, y algunas de las cifras, están sujetas al programa de depuración, considerando que existan cambios en criterios contables y cambios en las estimaciones contables de conformidad con la LGCG.</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Los criterios para la Depreciación de los activos se encuentran especificados y detallados en las Notas de Desglose del Estado de Situación Financiera en la parte del Activo en el punto número 10 Estimaciones y Deterioros</w:t>
      </w:r>
    </w:p>
    <w:p w:rsidR="00F301E9" w:rsidRPr="00F301E9" w:rsidRDefault="00F301E9" w:rsidP="00F301E9">
      <w:pPr>
        <w:spacing w:after="0" w:line="360" w:lineRule="auto"/>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Pasivos:</w:t>
      </w:r>
    </w:p>
    <w:p w:rsidR="00F301E9" w:rsidRPr="00F301E9" w:rsidRDefault="00F301E9" w:rsidP="00F301E9">
      <w:pPr>
        <w:spacing w:after="0" w:line="360" w:lineRule="auto"/>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El Método utilizado para la Actualización del Valor de los Pasivos es el de Valor Nominal, el cual mantiene el valor original de los pasivos adquiridos. </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En la Actualización de la Hacienda Pública se utiliza el Valor de Adquisición en el cual se registra el valor original de los activos y pasivos al momento de su adquisición.</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Se utilizan estos métodos de actualización de los valores de activos, pasivos y Hacienda Pública/Patrimonio, por ser un método simple y directo, lo cual facilita el registro contable y proporciona una base clara y verificable para la valoración.</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Durante el período contable, la entidad evaluó el entorno económico y determinó que no se requiere la reconexión inflacionaria, ya que la inflación acumulada de los últimos tres ejercicios no ha superado el 26%. Por lo tanto, los efectos de la inflación no han sido reconocidos en los estados financieros.</w:t>
      </w:r>
    </w:p>
    <w:p w:rsidR="00F301E9" w:rsidRPr="00F301E9" w:rsidRDefault="00F301E9" w:rsidP="00F301E9">
      <w:pPr>
        <w:spacing w:after="0" w:line="360" w:lineRule="auto"/>
        <w:jc w:val="both"/>
        <w:rPr>
          <w:rFonts w:ascii="GalanoGrotesque-Light" w:eastAsia="Calibri" w:hAnsi="GalanoGrotesque-Light" w:cs="Times New Roman"/>
          <w:bCs/>
          <w:color w:val="FF0000"/>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lastRenderedPageBreak/>
        <w:t>b) Informar sobre la realización de operaciones en el extranjero y de sus efectos en la información financiera gubernamental.</w:t>
      </w: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Gobierno del Estado de Michoacán no realiza operaciones en el extranjero.</w:t>
      </w: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c) Método de valuación en acciones de Compañías subsidiarias no consolidadas.</w:t>
      </w: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Gobierno del Estado de Michoacán no cuenta con acciones en compañías subsidiarias no consolidadas.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d) Sistema y método de valuación de inventarios y costo de lo vendido.</w:t>
      </w:r>
    </w:p>
    <w:p w:rsidR="00F301E9" w:rsidRPr="00F301E9" w:rsidRDefault="00F301E9" w:rsidP="00F301E9">
      <w:pPr>
        <w:spacing w:after="0" w:line="360" w:lineRule="auto"/>
        <w:jc w:val="both"/>
        <w:rPr>
          <w:rFonts w:ascii="GalanoGrotesque-Light" w:eastAsia="Calibri" w:hAnsi="GalanoGrotesque-Light" w:cs="Times New Roman"/>
          <w:bCs/>
          <w:color w:val="FF0000"/>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método de valuación de inventarios PEPS (primeras entradas primeras salidas) en este sistema se asume que los primeros artículos en ingresar al inventario son los primeros en utilizarse.</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Gobierno del Estado de Michoacán no realiza ventas, como parte de su actividad principal, por lo que el inventario corresponde a los artículos que se tienen para consumo como papelería, artículos de limpieza, herramientas menores, entre otros.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e) Beneficios a empleados: revelar el cálculo de la reserva actuarial, valor presente de los ingresos esperados comparado con el valor presente de la estimación de gastos tanto de los beneficiarios actuales como futuros.</w:t>
      </w:r>
    </w:p>
    <w:p w:rsidR="00F301E9" w:rsidRPr="00F301E9" w:rsidRDefault="00F301E9" w:rsidP="00F301E9">
      <w:pPr>
        <w:spacing w:after="0" w:line="360" w:lineRule="auto"/>
        <w:ind w:left="720"/>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Gobierno del Estado de Michoacán cuenta con el último Estudio Actuarial, del cual se desprenden la siguiente información:</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noProof/>
          <w:sz w:val="24"/>
          <w:szCs w:val="24"/>
          <w:lang w:eastAsia="es-MX"/>
        </w:rPr>
        <w:lastRenderedPageBreak/>
        <w:drawing>
          <wp:inline distT="0" distB="0" distL="0" distR="0" wp14:anchorId="586D404A" wp14:editId="724833CB">
            <wp:extent cx="6559826" cy="6559202"/>
            <wp:effectExtent l="0" t="0" r="0" b="0"/>
            <wp:docPr id="13756154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3987" cy="6593359"/>
                    </a:xfrm>
                    <a:prstGeom prst="rect">
                      <a:avLst/>
                    </a:prstGeom>
                    <a:noFill/>
                    <a:ln>
                      <a:noFill/>
                    </a:ln>
                  </pic:spPr>
                </pic:pic>
              </a:graphicData>
            </a:graphic>
          </wp:inline>
        </w:drawing>
      </w: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f) Provisiones.</w:t>
      </w:r>
    </w:p>
    <w:p w:rsidR="00F301E9" w:rsidRPr="00F301E9" w:rsidRDefault="00F301E9" w:rsidP="00F301E9">
      <w:pPr>
        <w:spacing w:after="0" w:line="360" w:lineRule="auto"/>
        <w:ind w:left="720"/>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Durante el período contable, no se han identificado provisiones que deban ser reconocidas en los estados financieros. Por lo tanto, no se han registrado movimientos ni saldos relacionados con provisiones en este período.</w:t>
      </w:r>
    </w:p>
    <w:p w:rsidR="00F301E9" w:rsidRPr="00F301E9" w:rsidRDefault="00F301E9" w:rsidP="00F301E9">
      <w:pPr>
        <w:spacing w:after="0" w:line="360" w:lineRule="auto"/>
        <w:ind w:left="720"/>
        <w:jc w:val="both"/>
        <w:rPr>
          <w:rFonts w:ascii="GalanoGrotesque-Light" w:eastAsia="Calibri" w:hAnsi="GalanoGrotesque-Light" w:cs="Times New Roman"/>
          <w:bCs/>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g) Reservas.</w:t>
      </w:r>
    </w:p>
    <w:p w:rsidR="00F301E9" w:rsidRPr="00F301E9" w:rsidRDefault="00F301E9" w:rsidP="00F301E9">
      <w:pPr>
        <w:spacing w:after="0" w:line="360" w:lineRule="auto"/>
        <w:ind w:left="720"/>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lastRenderedPageBreak/>
        <w:t>Durante el período contable, no se han identificado reservas que deban ser reconocidas en los estados financieros. Por lo tanto, no se han registrado movimientos ni saldos relacionados con reservas en este período.</w:t>
      </w:r>
    </w:p>
    <w:p w:rsidR="00F301E9" w:rsidRPr="00F301E9" w:rsidRDefault="00F301E9" w:rsidP="00F301E9">
      <w:pPr>
        <w:spacing w:after="0" w:line="360" w:lineRule="auto"/>
        <w:ind w:left="720"/>
        <w:jc w:val="both"/>
        <w:rPr>
          <w:rFonts w:ascii="GalanoGrotesque-Light" w:eastAsia="Calibri" w:hAnsi="GalanoGrotesque-Light" w:cs="Times New Roman"/>
          <w:bCs/>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h) Cambios en políticas contables y corrección de errores junto con la revelación.</w:t>
      </w:r>
    </w:p>
    <w:p w:rsidR="00F301E9" w:rsidRPr="00F301E9" w:rsidRDefault="00F301E9" w:rsidP="00F301E9">
      <w:pPr>
        <w:spacing w:after="0" w:line="360" w:lineRule="auto"/>
        <w:ind w:left="720"/>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Durante el período contable, no se han realizado cambios en las políticas contables adoptadas por la Secretaría de Finanzas y Administración. Las políticas contables aplicadas son consistentes con las utilizadas en los períodos anteriores.</w:t>
      </w:r>
    </w:p>
    <w:p w:rsidR="00F301E9" w:rsidRPr="00F301E9" w:rsidRDefault="00F301E9" w:rsidP="00F301E9">
      <w:pPr>
        <w:spacing w:after="0" w:line="360" w:lineRule="auto"/>
        <w:ind w:left="720"/>
        <w:jc w:val="both"/>
        <w:rPr>
          <w:rFonts w:ascii="GalanoGrotesque-Light" w:eastAsia="Calibri" w:hAnsi="GalanoGrotesque-Light" w:cs="Times New Roman"/>
          <w:bCs/>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i) Reclasificaciones.</w:t>
      </w:r>
    </w:p>
    <w:p w:rsidR="00F301E9" w:rsidRPr="00F301E9" w:rsidRDefault="00F301E9" w:rsidP="00F301E9">
      <w:pPr>
        <w:spacing w:before="60" w:after="0" w:line="360" w:lineRule="auto"/>
        <w:ind w:left="720"/>
        <w:jc w:val="both"/>
        <w:rPr>
          <w:rFonts w:ascii="GalanoGrotesque-Light" w:eastAsia="Calibri" w:hAnsi="GalanoGrotesque-Light" w:cs="Times New Roman"/>
          <w:bCs/>
        </w:rPr>
      </w:pPr>
      <w:r w:rsidRPr="00F301E9">
        <w:rPr>
          <w:rFonts w:ascii="GalanoGrotesque-Light" w:eastAsia="Calibri" w:hAnsi="GalanoGrotesque-Light" w:cs="Times New Roman"/>
          <w:bCs/>
          <w:lang w:val="es-ES"/>
        </w:rPr>
        <w:t xml:space="preserve">Durante el período contable, </w:t>
      </w:r>
      <w:r w:rsidRPr="00F301E9">
        <w:rPr>
          <w:rFonts w:ascii="GalanoGrotesque-Light" w:eastAsia="Calibri" w:hAnsi="GalanoGrotesque-Light" w:cs="Times New Roman"/>
          <w:bCs/>
        </w:rPr>
        <w:t>se realizaron reclasificaciones en los registros contables con el objetivo de corregir inexactitudes, imprecisiones y errores de carácter aritmético o contable identificados en la aplicación de las políticas vigentes. Asimismo, dichas reclasificaciones se efectuaron para subsanar interpretaciones inadecuadas de las transacciones y hechos económicos registrados inicialmente.</w:t>
      </w:r>
    </w:p>
    <w:p w:rsidR="00F301E9" w:rsidRPr="00F301E9" w:rsidRDefault="00F301E9" w:rsidP="00F301E9">
      <w:pPr>
        <w:spacing w:before="60" w:after="0" w:line="360" w:lineRule="auto"/>
        <w:ind w:left="720"/>
        <w:jc w:val="both"/>
        <w:rPr>
          <w:rFonts w:ascii="GalanoGrotesque-Light" w:eastAsia="Calibri" w:hAnsi="GalanoGrotesque-Light" w:cs="Times New Roman"/>
          <w:bCs/>
        </w:rPr>
      </w:pPr>
    </w:p>
    <w:p w:rsidR="00F301E9" w:rsidRPr="00F301E9" w:rsidRDefault="00F301E9" w:rsidP="00F301E9">
      <w:pPr>
        <w:spacing w:after="0" w:line="360" w:lineRule="auto"/>
        <w:ind w:left="720"/>
        <w:jc w:val="both"/>
        <w:rPr>
          <w:rFonts w:ascii="GalanoGrotesque-Light" w:eastAsia="Calibri" w:hAnsi="GalanoGrotesque-Light" w:cs="Times New Roman"/>
          <w:bCs/>
        </w:rPr>
      </w:pPr>
      <w:r w:rsidRPr="00F301E9">
        <w:rPr>
          <w:rFonts w:ascii="GalanoGrotesque-Light" w:eastAsia="Calibri" w:hAnsi="GalanoGrotesque-Light" w:cs="Times New Roman"/>
          <w:bCs/>
        </w:rPr>
        <w:t>Estas acciones tuvieron como finalidad asegurar que la información presentada refleje de manera razonable y fiel la situación financiera de la entidad, así como el resultado de sus operaciones.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ind w:left="720"/>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j) Depuración y cancelación de saldos.</w:t>
      </w:r>
    </w:p>
    <w:p w:rsidR="00F301E9" w:rsidRPr="00F301E9" w:rsidRDefault="00F301E9" w:rsidP="00F301E9">
      <w:pPr>
        <w:spacing w:after="0" w:line="360" w:lineRule="auto"/>
        <w:ind w:left="720"/>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El Gobierno del Estado de Michoacán, como parte de sus prioridades de mantener finanzas sanas y una rendición de cuentas que permitan a la ciudadanía conocer el estado de la situación financiera del Estado de Michoacán, se ha dado a la tarea de realizar una depuración de saldos que son derivados de ejercicios anteriores, por omisiones o errores contables, destacando la depuración de cuentas bancarias inexistentes, </w:t>
      </w:r>
      <w:r w:rsidRPr="00F301E9">
        <w:rPr>
          <w:rFonts w:ascii="GalanoGrotesque-Light" w:eastAsia="Calibri" w:hAnsi="GalanoGrotesque-Light" w:cs="Times New Roman"/>
          <w:bCs/>
          <w:lang w:val="es-ES"/>
        </w:rPr>
        <w:lastRenderedPageBreak/>
        <w:t>deudores y acreedores cuyos pagos no fueron registrados en su momento conforme a la normativa aplicable.</w:t>
      </w:r>
    </w:p>
    <w:p w:rsidR="00F301E9" w:rsidRPr="00F301E9" w:rsidRDefault="00F301E9" w:rsidP="00F301E9">
      <w:pPr>
        <w:spacing w:after="0" w:line="360" w:lineRule="auto"/>
        <w:ind w:left="720"/>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6. Posición en moneda extranjera y protección por riesgo cambiario.</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Gobierno del Estado de Michoacán no cuenta con activos o pasivos en moneda extranjera, por lo que no es necesario ningún método de protección de riesgo por variaciones en el tipo de cambio.</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7. Reporte Analítico del Activo.</w:t>
      </w:r>
    </w:p>
    <w:p w:rsidR="00F301E9" w:rsidRPr="00F301E9" w:rsidRDefault="00F301E9" w:rsidP="00F301E9">
      <w:pPr>
        <w:spacing w:after="0" w:line="360" w:lineRule="auto"/>
        <w:jc w:val="both"/>
        <w:rPr>
          <w:rFonts w:ascii="GalanoGrotesque-Light" w:eastAsia="Calibri" w:hAnsi="GalanoGrotesque-Light" w:cs="Times New Roman"/>
          <w:b/>
          <w:highlight w:val="yellow"/>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De acuerdo a la vida útil estimada y porcentajes de depreciación se toman como referencia los Parámetros de Estimación de Vida Útil publicados en el Periódico Oficial de la Federación, el día 15 de agosto de 2012.</w:t>
      </w:r>
    </w:p>
    <w:p w:rsidR="00F301E9" w:rsidRPr="00F301E9" w:rsidRDefault="00F301E9" w:rsidP="00F301E9">
      <w:pPr>
        <w:spacing w:before="60" w:after="6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proceso de administración del alta de un bien inmueble, puede ser: por adquisición, expropiación, donación, regularización, permuta y disposición entre otros, en el caso de las áreas de donación a favor del Gobierno del Estado, se destinara el 3% del área total del predio, la cual se escritura a favor de Gobierno del Estado de Michoacán, esta superficie se regulariza a través de las donaciones, de cualquiera de los tipos que se señalan el Código de Desarrollo Urbano del Estado de Michoacán de Ocampo, en su artículo 329 y 297, para el Ejercicio Fiscal 2025.</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La depreciación se calcula a partir del mes siguiente al de su registro o control, considerando si la fecha de control de registro es el día 16, se considera para su aplicación de la depreciación al siguiente mes, si la fecha es antes del día 15, se le aplicará en el mismo mes, la depreciación.</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En caso de que un bien se encuentre totalmente depreciado, pero se considera que aún cuenta con vida útil, se determinará el tiempo </w:t>
      </w:r>
      <w:r w:rsidRPr="00F301E9">
        <w:rPr>
          <w:rFonts w:ascii="GalanoGrotesque-Light" w:eastAsia="Calibri" w:hAnsi="GalanoGrotesque-Light" w:cs="Times New Roman"/>
          <w:lang w:val="es-ES"/>
        </w:rPr>
        <w:lastRenderedPageBreak/>
        <w:t>aproximado de vida útil del bien mueble y se mantendrá en la contabilidad el valor correspondiente.</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Las obras de arte, animales y terrenos no serán sujetos al proceso de depreciación.</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Los porcentajes de depreciación se aplican dividiendo los años de vida útil del bien, entre su valor de adquisición, de conformidad con los parámetros establecidos por el Consejo Nacional de Armonización Contable.</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b) Cambios en el porcentaje de depreciación o valor residual de los activos.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La valuación de los activos, así como su vida útil y su valor residual, se realiza conforme a lo establecido en las normas emitidas y publicadas por el Consejo Nacional de Armonización Contable.</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c) Importe de los gastos capitalizados en el ejercicio, tanto financieros con de investigación y desarrollo.</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Durante el periodo del presente informe no se ha realizado capitalización de gastos.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d) Riesgos por tipo de cambio o tipo de interés de las inversiones financieras.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Gobierno del Estado de Michoacán no realiza inversiones en moneda extranjera ni consideradas de riesgo.</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e) Valor activado en el ejercicio de los bienes construidos por la entidad.</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No existen datos que informar en este rubro, en el periodo que se informa.</w:t>
      </w: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lastRenderedPageBreak/>
        <w:t>f) Otras circunstancias de carácter significativo que afecten el activo.</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No existen datos que informar en este rubro, en el periodo que se informa.</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 xml:space="preserve">g) Desmantelamiento de Activos. </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No existen datos que informar en este rubro, en el periodo que se informa.</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h) Administración de activos.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No existen datos que informar en este rubro, en el periodo que se informa.</w:t>
      </w: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r w:rsidRPr="00F301E9">
        <w:rPr>
          <w:rFonts w:ascii="GalanoGrotesque-Light" w:eastAsia="Calibri" w:hAnsi="GalanoGrotesque-Light" w:cs="Times New Roman"/>
          <w:lang w:val="es-ES"/>
        </w:rPr>
        <w:t>a)</w:t>
      </w:r>
      <w:r w:rsidRPr="00F301E9">
        <w:rPr>
          <w:rFonts w:ascii="GalanoGrotesque-Light" w:eastAsia="Calibri" w:hAnsi="GalanoGrotesque-Light" w:cs="Times New Roman"/>
          <w:b/>
          <w:lang w:val="es-ES"/>
        </w:rPr>
        <w:t xml:space="preserve"> </w:t>
      </w:r>
      <w:r w:rsidRPr="00F301E9">
        <w:rPr>
          <w:rFonts w:ascii="GalanoGrotesque-Light" w:eastAsia="Calibri" w:hAnsi="GalanoGrotesque-Light" w:cs="Times New Roman"/>
          <w:bCs/>
          <w:lang w:val="es-ES"/>
        </w:rPr>
        <w:t>Inversiones en valores.</w:t>
      </w: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No se realizaron inversiones en valores durante el período reportado.</w:t>
      </w:r>
    </w:p>
    <w:p w:rsidR="00F301E9" w:rsidRPr="00F301E9" w:rsidRDefault="00F301E9" w:rsidP="00F301E9">
      <w:pPr>
        <w:spacing w:after="0" w:line="360" w:lineRule="auto"/>
        <w:ind w:left="708"/>
        <w:jc w:val="both"/>
        <w:rPr>
          <w:rFonts w:ascii="GalanoGrotesque-Light" w:eastAsia="Calibri" w:hAnsi="GalanoGrotesque-Light" w:cs="Times New Roman"/>
          <w:bCs/>
          <w:lang w:val="es-ES"/>
        </w:rPr>
      </w:pPr>
    </w:p>
    <w:p w:rsidR="00F301E9" w:rsidRPr="00F301E9" w:rsidRDefault="00F301E9" w:rsidP="00F301E9">
      <w:pPr>
        <w:spacing w:after="0" w:line="360" w:lineRule="auto"/>
        <w:ind w:left="708"/>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b) Patrimonio de Organismos Descentralizados de Control Presupuestario Indirecto.</w:t>
      </w:r>
    </w:p>
    <w:p w:rsidR="00F301E9" w:rsidRPr="00F301E9" w:rsidRDefault="00F301E9" w:rsidP="00F301E9">
      <w:pPr>
        <w:spacing w:after="0" w:line="360" w:lineRule="auto"/>
        <w:ind w:left="708"/>
        <w:jc w:val="both"/>
        <w:rPr>
          <w:rFonts w:ascii="GalanoGrotesque-Light" w:eastAsia="Calibri" w:hAnsi="GalanoGrotesque-Light" w:cs="Times New Roman"/>
          <w:bCs/>
          <w:lang w:val="es-ES"/>
        </w:rPr>
      </w:pPr>
    </w:p>
    <w:p w:rsidR="00F301E9" w:rsidRPr="00F301E9" w:rsidRDefault="00F301E9" w:rsidP="00F301E9">
      <w:pPr>
        <w:spacing w:after="0" w:line="360" w:lineRule="auto"/>
        <w:ind w:left="708"/>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La Secretaría de Finanzas y Administración no cuenta con información que revelar en el periodo que se informa.</w:t>
      </w: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c) Inversiones en empresas de participación mayoritaria.</w:t>
      </w: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Sin información que revelar.</w:t>
      </w: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d) Inversiones en empresas de participación minoritaria.</w:t>
      </w: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p>
    <w:p w:rsidR="00F301E9" w:rsidRPr="00F301E9" w:rsidRDefault="00F301E9" w:rsidP="00F301E9">
      <w:pPr>
        <w:spacing w:after="0" w:line="360" w:lineRule="auto"/>
        <w:ind w:firstLine="708"/>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Sin información que revelar.</w:t>
      </w:r>
    </w:p>
    <w:p w:rsidR="00F301E9" w:rsidRPr="00F301E9" w:rsidRDefault="00F301E9" w:rsidP="00F301E9">
      <w:pPr>
        <w:spacing w:after="0" w:line="360" w:lineRule="auto"/>
        <w:ind w:left="708"/>
        <w:jc w:val="both"/>
        <w:rPr>
          <w:rFonts w:ascii="GalanoGrotesque-Light" w:eastAsia="Calibri" w:hAnsi="GalanoGrotesque-Light" w:cs="Times New Roman"/>
          <w:bCs/>
          <w:lang w:val="es-ES"/>
        </w:rPr>
      </w:pPr>
    </w:p>
    <w:p w:rsidR="00F301E9" w:rsidRPr="00F301E9" w:rsidRDefault="00F301E9" w:rsidP="00F301E9">
      <w:pPr>
        <w:spacing w:after="0" w:line="360" w:lineRule="auto"/>
        <w:ind w:left="708"/>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lastRenderedPageBreak/>
        <w:t xml:space="preserve">e) Patrimonio de Organismos Descentralizados de Control Presupuestario Directo, según corresponda. </w:t>
      </w:r>
    </w:p>
    <w:p w:rsidR="00F301E9" w:rsidRPr="00F301E9" w:rsidRDefault="00F301E9" w:rsidP="00F301E9">
      <w:pPr>
        <w:spacing w:after="0" w:line="360" w:lineRule="auto"/>
        <w:ind w:left="708"/>
        <w:jc w:val="both"/>
        <w:rPr>
          <w:rFonts w:ascii="GalanoGrotesque-Light" w:eastAsia="Calibri" w:hAnsi="GalanoGrotesque-Light" w:cs="Times New Roman"/>
          <w:bCs/>
          <w:lang w:val="es-ES"/>
        </w:rPr>
      </w:pPr>
    </w:p>
    <w:p w:rsidR="00F301E9" w:rsidRPr="00F301E9" w:rsidRDefault="00F301E9" w:rsidP="00F301E9">
      <w:pPr>
        <w:spacing w:after="0" w:line="360" w:lineRule="auto"/>
        <w:ind w:left="708"/>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La Secretaría de Finanzas y Administración no tiene información que revelar en el período. </w:t>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8. Fideicomisos, Mandatos y Análogos.</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gobierno del Estado de Michoacán cuenta con Fideicomisos sectorizados a sus diferentes Dependencias, los cuales se muestran a continuación:</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a) Por ramo administrativo que los reporta.</w:t>
      </w: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noProof/>
          <w:sz w:val="24"/>
          <w:szCs w:val="24"/>
          <w:lang w:eastAsia="es-MX"/>
        </w:rPr>
        <w:lastRenderedPageBreak/>
        <w:drawing>
          <wp:inline distT="0" distB="0" distL="0" distR="0" wp14:anchorId="56F7D593" wp14:editId="7CC958B7">
            <wp:extent cx="6638925" cy="8296275"/>
            <wp:effectExtent l="0" t="0" r="9525" b="952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2801" cy="8301119"/>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noProof/>
          <w:sz w:val="24"/>
          <w:szCs w:val="24"/>
          <w:lang w:eastAsia="es-MX"/>
        </w:rPr>
        <w:lastRenderedPageBreak/>
        <w:drawing>
          <wp:inline distT="0" distB="0" distL="0" distR="0" wp14:anchorId="535D6F66" wp14:editId="42876CE7">
            <wp:extent cx="6648450" cy="8258097"/>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843" cy="8280944"/>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lastRenderedPageBreak/>
        <w:t>b) Enlistar los de mayor monto de disponibilidad, relacionando aquéllos que conforman al menos el 80% de las disponibilidades.</w:t>
      </w:r>
    </w:p>
    <w:p w:rsidR="00F301E9" w:rsidRPr="00F301E9" w:rsidRDefault="00F301E9" w:rsidP="00F301E9">
      <w:pPr>
        <w:spacing w:after="0" w:line="360" w:lineRule="auto"/>
        <w:jc w:val="both"/>
        <w:rPr>
          <w:rFonts w:ascii="GalanoGrotesque-Light" w:eastAsia="Calibri" w:hAnsi="GalanoGrotesque-Light" w:cs="Times New Roman"/>
          <w:b/>
          <w:noProof/>
          <w:sz w:val="24"/>
          <w:szCs w:val="24"/>
          <w:lang w:val="es-ES" w:eastAsia="es-MX"/>
        </w:rPr>
      </w:pPr>
      <w:r w:rsidRPr="00F301E9">
        <w:rPr>
          <w:rFonts w:ascii="GalanoGrotesque-Light" w:eastAsia="Calibri" w:hAnsi="GalanoGrotesque-Light" w:cs="Times New Roman"/>
          <w:noProof/>
          <w:sz w:val="24"/>
          <w:szCs w:val="24"/>
          <w:lang w:eastAsia="es-MX"/>
        </w:rPr>
        <w:drawing>
          <wp:inline distT="0" distB="0" distL="0" distR="0" wp14:anchorId="6069B361" wp14:editId="52138BCB">
            <wp:extent cx="6643296" cy="6534150"/>
            <wp:effectExtent l="0" t="0" r="571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4615" cy="6545283"/>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noProof/>
          <w:sz w:val="24"/>
          <w:szCs w:val="24"/>
          <w:lang w:eastAsia="es-MX"/>
        </w:rPr>
      </w:pPr>
    </w:p>
    <w:p w:rsidR="00F301E9" w:rsidRPr="00F301E9" w:rsidRDefault="00F301E9" w:rsidP="00F301E9">
      <w:pPr>
        <w:spacing w:after="0" w:line="360" w:lineRule="auto"/>
        <w:jc w:val="both"/>
        <w:rPr>
          <w:rFonts w:ascii="GalanoGrotesque-Light" w:eastAsia="Calibri" w:hAnsi="GalanoGrotesque-Light" w:cs="Times New Roman"/>
          <w:noProof/>
          <w:sz w:val="24"/>
          <w:szCs w:val="24"/>
          <w:lang w:eastAsia="es-MX"/>
        </w:rPr>
      </w:pPr>
    </w:p>
    <w:p w:rsidR="00F301E9" w:rsidRPr="00F301E9" w:rsidRDefault="00F301E9" w:rsidP="00F301E9">
      <w:pPr>
        <w:spacing w:after="0" w:line="360" w:lineRule="auto"/>
        <w:jc w:val="both"/>
        <w:rPr>
          <w:rFonts w:ascii="GalanoGrotesque-Light" w:eastAsia="Calibri" w:hAnsi="GalanoGrotesque-Light" w:cs="Times New Roman"/>
          <w:noProof/>
          <w:sz w:val="24"/>
          <w:szCs w:val="24"/>
          <w:lang w:eastAsia="es-MX"/>
        </w:rPr>
      </w:pPr>
    </w:p>
    <w:p w:rsidR="00F301E9" w:rsidRPr="00F301E9" w:rsidRDefault="00F301E9" w:rsidP="00F301E9">
      <w:pPr>
        <w:spacing w:after="0" w:line="360" w:lineRule="auto"/>
        <w:jc w:val="both"/>
        <w:rPr>
          <w:rFonts w:ascii="GalanoGrotesque-Light" w:eastAsia="Calibri" w:hAnsi="GalanoGrotesque-Light" w:cs="Times New Roman"/>
          <w:noProof/>
          <w:sz w:val="24"/>
          <w:szCs w:val="24"/>
          <w:lang w:eastAsia="es-MX"/>
        </w:rPr>
      </w:pPr>
    </w:p>
    <w:p w:rsidR="00F301E9" w:rsidRPr="00F301E9" w:rsidRDefault="00F301E9" w:rsidP="00F301E9">
      <w:pPr>
        <w:spacing w:after="0" w:line="360" w:lineRule="auto"/>
        <w:jc w:val="both"/>
        <w:rPr>
          <w:rFonts w:ascii="GalanoGrotesque-Light" w:eastAsia="Calibri" w:hAnsi="GalanoGrotesque-Light" w:cs="Times New Roman"/>
          <w:noProof/>
          <w:sz w:val="24"/>
          <w:szCs w:val="24"/>
          <w:lang w:eastAsia="es-MX"/>
        </w:rPr>
      </w:pPr>
    </w:p>
    <w:p w:rsidR="00F301E9" w:rsidRPr="00F301E9" w:rsidRDefault="00F301E9" w:rsidP="00F301E9">
      <w:pPr>
        <w:spacing w:after="0" w:line="360" w:lineRule="auto"/>
        <w:jc w:val="both"/>
        <w:rPr>
          <w:rFonts w:ascii="GalanoGrotesque-Light" w:eastAsia="Calibri" w:hAnsi="GalanoGrotesque-Light" w:cs="Times New Roman"/>
          <w:b/>
          <w:noProof/>
          <w:sz w:val="24"/>
          <w:szCs w:val="24"/>
          <w:lang w:val="es-ES" w:eastAsia="es-MX"/>
        </w:rPr>
      </w:pPr>
      <w:r w:rsidRPr="00F301E9">
        <w:rPr>
          <w:rFonts w:ascii="GalanoGrotesque-Light" w:eastAsia="Calibri" w:hAnsi="GalanoGrotesque-Light" w:cs="Times New Roman"/>
          <w:noProof/>
          <w:sz w:val="24"/>
          <w:szCs w:val="24"/>
          <w:lang w:eastAsia="es-MX"/>
        </w:rPr>
        <w:drawing>
          <wp:inline distT="0" distB="0" distL="0" distR="0" wp14:anchorId="52E6D8BD" wp14:editId="7D15BD5F">
            <wp:extent cx="6688738" cy="6600825"/>
            <wp:effectExtent l="0" t="0" r="0" b="0"/>
            <wp:docPr id="604720001" name="Imagen 6047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3310" cy="6605337"/>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
          <w:highlight w:val="yellow"/>
          <w:lang w:val="es-ES"/>
        </w:rPr>
      </w:pPr>
    </w:p>
    <w:p w:rsidR="00F301E9" w:rsidRPr="00F301E9" w:rsidRDefault="00F301E9" w:rsidP="00F301E9">
      <w:pPr>
        <w:spacing w:after="0" w:line="360" w:lineRule="auto"/>
        <w:jc w:val="both"/>
        <w:rPr>
          <w:rFonts w:ascii="GalanoGrotesque-Light" w:eastAsia="Calibri" w:hAnsi="GalanoGrotesque-Light" w:cs="Times New Roman"/>
          <w:b/>
          <w:highlight w:val="yellow"/>
          <w:lang w:val="es-ES"/>
        </w:rPr>
      </w:pPr>
    </w:p>
    <w:p w:rsidR="00F301E9" w:rsidRPr="00F301E9" w:rsidRDefault="00F301E9" w:rsidP="00F301E9">
      <w:pPr>
        <w:spacing w:after="0" w:line="360" w:lineRule="auto"/>
        <w:jc w:val="both"/>
        <w:rPr>
          <w:rFonts w:ascii="GalanoGrotesque-Light" w:eastAsia="Calibri" w:hAnsi="GalanoGrotesque-Light" w:cs="Times New Roman"/>
          <w:b/>
          <w:highlight w:val="yellow"/>
          <w:lang w:val="es-ES"/>
        </w:rPr>
      </w:pPr>
    </w:p>
    <w:p w:rsidR="00F301E9" w:rsidRPr="00F301E9" w:rsidRDefault="00F301E9" w:rsidP="00F301E9">
      <w:pPr>
        <w:spacing w:after="0" w:line="360" w:lineRule="auto"/>
        <w:jc w:val="both"/>
        <w:rPr>
          <w:rFonts w:ascii="GalanoGrotesque-Light" w:eastAsia="Calibri" w:hAnsi="GalanoGrotesque-Light" w:cs="Times New Roman"/>
          <w:b/>
          <w:highlight w:val="yellow"/>
          <w:lang w:val="es-ES"/>
        </w:rPr>
      </w:pPr>
    </w:p>
    <w:p w:rsidR="00F301E9" w:rsidRPr="00F301E9" w:rsidRDefault="00F301E9" w:rsidP="00F301E9">
      <w:pPr>
        <w:spacing w:after="0" w:line="360" w:lineRule="auto"/>
        <w:jc w:val="both"/>
        <w:rPr>
          <w:rFonts w:ascii="GalanoGrotesque-Light" w:eastAsia="Calibri" w:hAnsi="GalanoGrotesque-Light" w:cs="Times New Roman"/>
          <w:b/>
          <w:highlight w:val="yellow"/>
          <w:lang w:val="es-ES"/>
        </w:rPr>
      </w:pPr>
    </w:p>
    <w:p w:rsidR="00F301E9" w:rsidRPr="00F301E9" w:rsidRDefault="00F301E9" w:rsidP="00F301E9">
      <w:pPr>
        <w:spacing w:after="0" w:line="360" w:lineRule="auto"/>
        <w:jc w:val="both"/>
        <w:rPr>
          <w:rFonts w:ascii="GalanoGrotesque-Light" w:eastAsia="Calibri" w:hAnsi="GalanoGrotesque-Light" w:cs="Times New Roman"/>
          <w:b/>
          <w:highlight w:val="yellow"/>
          <w:lang w:val="es-ES"/>
        </w:rPr>
      </w:pPr>
    </w:p>
    <w:p w:rsidR="00F301E9" w:rsidRPr="00F301E9" w:rsidRDefault="00F301E9" w:rsidP="00F301E9">
      <w:pPr>
        <w:spacing w:after="0" w:line="360" w:lineRule="auto"/>
        <w:jc w:val="both"/>
        <w:rPr>
          <w:rFonts w:ascii="GalanoGrotesque-Light" w:eastAsia="Calibri" w:hAnsi="GalanoGrotesque-Light" w:cs="Times New Roman"/>
          <w:b/>
          <w:highlight w:val="yellow"/>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9. Reporte de la Recaudación</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a) Análisis del comportamiento de la recaudación</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numPr>
          <w:ilvl w:val="0"/>
          <w:numId w:val="11"/>
        </w:numPr>
        <w:spacing w:before="60"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Ingresos de Fuentes Locales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Para 2025, la estimación total de ingresos fue de 98 mil 935 millones, 474 mil 315 pesos; en este ejercicio la proporción de ingresos locales estimados representa un 8.59 por ciento, impulsado por un esfuerzo en las acciones de fiscalización por adeudos pendientes de impuestos y derechos; mientras que los ingresos federales representaron un 91.41 por ciento.</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En materia de impuestos, el Impuesto Sobre Erogaciones por Remuneración al Trabajo Personal, Prestado Bajo la Dirección y Dependencia de un Patrón representa la mayor fuente recaudatoria con el 91.95 por ciento respecto a los impuestos y un 45.38 por ciento respecto al total de ingresos propios recaudados; cerrando el cuarto trimestre en 4,110 millones 295 mil 810 pesos, lo que representa un avance de 97.94 por ciento respecto al total programado en la Ley de Ingresos por este mismo concepto; consolidando la recaudación de los contribuyentes del sector privado y la de adeudos pendientes del sector público estatal, con del programa de saneamiento de los adeudos actualizados y vigentes de los municipios y entidades paramunicipales ante el Ejecutivo del Estado, derivado del Artículo Noveno Transitorio de la Ley de Ingresos del Estado de Michoacán de Ocampo, para el Ejercicio Fiscal del Año 2025.</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 xml:space="preserve">La recaudación de Derechos al cuarto trimestre asciende a 3,459 millones 564 mil 285 pesos, lo que representa un 105.11 por ciento de su meta programada anual, esto principalmente por los Derechos por Servicios de Transporte Particular que representaron el 74.32 por ciento del total de los Derechos por Prestación de Servicios </w:t>
      </w:r>
      <w:r w:rsidRPr="00F301E9">
        <w:rPr>
          <w:rFonts w:ascii="GalanoGrotesque-Light" w:eastAsia="Calibri" w:hAnsi="GalanoGrotesque-Light" w:cs="Times New Roman"/>
          <w:szCs w:val="24"/>
          <w:lang w:val="es-ES"/>
        </w:rPr>
        <w:lastRenderedPageBreak/>
        <w:t xml:space="preserve">Estatales. Se mantuvieron los esquemas para facilitar el pago del refrendo vehicular digital en línea, así como el subsidio del 10 diez por ciento al pago de derechos por concepto de refrendo anual de circulación a partir del primero de enero de 2025 y hasta el 31 de enero de 2025, con la finalidad de incentivar el cumplimiento puntual de las contribuciones en materia de derechos por transporte particular. </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En materia de Productos se obtuvo un avance del 94.27 por ciento respecto al total programado para el ejercicio fiscal 2025, cerrando el cuarto trimestre en 246 millones, 507 mil, 329 pesos, principalmente por la suma de los rendimientos de capital y valores.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 xml:space="preserve">Dentro de los Aprovechamientos, se tiene un avance del 60.57 por ciento respecto a lo programado, por un total de 430 millones 930 mil 144 pesos; lo anterior, debido a que no se cumplió con la meta programada en el último trimestre del ejercicio fiscal 2025, derivado de compromisos de pago vencidos para la principal fuente de ingreso estimada, por la Recuperación de Patrimonio </w:t>
      </w:r>
      <w:proofErr w:type="spellStart"/>
      <w:r w:rsidRPr="00F301E9">
        <w:rPr>
          <w:rFonts w:ascii="GalanoGrotesque-Light" w:eastAsia="Calibri" w:hAnsi="GalanoGrotesque-Light" w:cs="Times New Roman"/>
          <w:szCs w:val="24"/>
          <w:lang w:val="es-ES"/>
        </w:rPr>
        <w:t>Fideicomitido</w:t>
      </w:r>
      <w:proofErr w:type="spellEnd"/>
      <w:r w:rsidRPr="00F301E9">
        <w:rPr>
          <w:rFonts w:ascii="GalanoGrotesque-Light" w:eastAsia="Calibri" w:hAnsi="GalanoGrotesque-Light" w:cs="Times New Roman"/>
          <w:szCs w:val="24"/>
          <w:lang w:val="es-ES"/>
        </w:rPr>
        <w:t xml:space="preserve"> por liquidación del Fideicomiso de "La Isla de la Palma".</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b/>
          <w:szCs w:val="24"/>
          <w:lang w:val="es-ES"/>
        </w:rPr>
      </w:pPr>
      <w:r w:rsidRPr="00F301E9">
        <w:rPr>
          <w:rFonts w:ascii="GalanoGrotesque-Light" w:eastAsia="Calibri" w:hAnsi="GalanoGrotesque-Light" w:cs="Times New Roman"/>
          <w:b/>
          <w:szCs w:val="24"/>
          <w:lang w:val="es-ES"/>
        </w:rPr>
        <w:t>II.</w:t>
      </w:r>
      <w:r w:rsidRPr="00F301E9">
        <w:rPr>
          <w:rFonts w:ascii="GalanoGrotesque-Light" w:eastAsia="Calibri" w:hAnsi="GalanoGrotesque-Light" w:cs="Times New Roman"/>
          <w:b/>
          <w:szCs w:val="24"/>
          <w:lang w:val="es-ES"/>
        </w:rPr>
        <w:tab/>
        <w:t>Ingresos de Fuentes Federales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Las Participaciones Federales (Ramo 28), presentan un 97.97 por ciento de avance al cuarto trimestre respecto a lo programado en Ley de Ingresos 2025. En ese sentido, los recursos recibidos de participaciones ascendieron a 41 mil 656 millones 336 mil 416 pesos.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 xml:space="preserve">Por su parte, los recursos de Aportaciones Federales del Ramo 33 presentaron un avance del 98.36 por ciento por la cantidad de 41 mil 919 millones 514 mil 257 pesos; las Transferencias Federales por Convenios un 275.08 por ciento, debido a que en la Ley de Ingresos solo se estiman los convenios recurrentes más significativos en materia de educación y salud. </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Finalmente, los Incentivos derivados de la Colaboración Fiscal presentan un avance del 140.82 por ciento respecto a lo programado en todo el ejercicio fiscal, principalmente de Incentivos de Fiscalización Concurrente, establecidos mediante el Convenio de Colaboración Administrativa en Materia Fiscal Federal.</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numPr>
          <w:ilvl w:val="0"/>
          <w:numId w:val="16"/>
        </w:numPr>
        <w:spacing w:before="60"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Proyección de la recaudación en el mediano plazo</w:t>
      </w:r>
    </w:p>
    <w:p w:rsidR="00F301E9" w:rsidRPr="00F301E9" w:rsidRDefault="00F301E9" w:rsidP="00F301E9">
      <w:pPr>
        <w:widowControl w:val="0"/>
        <w:kinsoku w:val="0"/>
        <w:spacing w:after="0" w:line="360" w:lineRule="auto"/>
        <w:ind w:left="720"/>
        <w:contextualSpacing/>
        <w:jc w:val="both"/>
        <w:rPr>
          <w:rFonts w:ascii="Grotesque Light" w:eastAsia="Times New Roman" w:hAnsi="Grotesque Light" w:cs="Times New Roman"/>
          <w:b/>
          <w:bCs/>
          <w:sz w:val="24"/>
          <w:szCs w:val="24"/>
          <w:lang w:eastAsia="es-MX"/>
        </w:rPr>
      </w:pPr>
    </w:p>
    <w:p w:rsidR="00F301E9" w:rsidRPr="00F301E9" w:rsidRDefault="00F301E9" w:rsidP="00F301E9">
      <w:pPr>
        <w:numPr>
          <w:ilvl w:val="0"/>
          <w:numId w:val="15"/>
        </w:numPr>
        <w:spacing w:before="60"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Ingresos de Fuentes Locales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 xml:space="preserve">Para realizar el pronóstico de los impuestos a recaudar en el período 2025-2030 se implementó un análisis econométrico de </w:t>
      </w:r>
      <w:proofErr w:type="spellStart"/>
      <w:r w:rsidRPr="00F301E9">
        <w:rPr>
          <w:rFonts w:ascii="GalanoGrotesque-Light" w:eastAsia="Calibri" w:hAnsi="GalanoGrotesque-Light" w:cs="Times New Roman"/>
          <w:szCs w:val="24"/>
          <w:lang w:val="es-ES"/>
        </w:rPr>
        <w:t>suavizamiento</w:t>
      </w:r>
      <w:proofErr w:type="spellEnd"/>
      <w:r w:rsidRPr="00F301E9">
        <w:rPr>
          <w:rFonts w:ascii="GalanoGrotesque-Light" w:eastAsia="Calibri" w:hAnsi="GalanoGrotesque-Light" w:cs="Times New Roman"/>
          <w:szCs w:val="24"/>
          <w:lang w:val="es-ES"/>
        </w:rPr>
        <w:t xml:space="preserve"> exponencial multiplicativo, utilizando los datos de recaudación en una serie de tiempo mensual de julio de 2018 a agosto del 2024, a partir de los cuales el modelo proyecta la cantidad a recaudar por cada mes correspondiente del año 2025, en función del comportamiento histórico del período. Adicionalmente se consideran otras variables que tienen incidencia específica en la proyección de cada uno de los impuestos estatales: </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a. Composición del Padrón de Contribuyentes, en donde la recaudación del sector público federal, estatal y municipal, para el caso del Impuesto sobre Nómina tiene un comportamiento distinto a la del sector privado.</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b. Valuación de estrategias para recuperación de adeudos de contribuyentes del sector privado.</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c. Valuación de estrategias de incorporación al padrón.</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lastRenderedPageBreak/>
        <w:t>d. Ponderación del indicador de la actividad económica estatal, en la perspectiva de la creación de empresas y puestos de trabajo en Michoacán y que determinen la incorporación al padrón estatal.</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 xml:space="preserve">La proyección de Derechos se realizó con base en el número de trámites mensuales, multiplicados por la tarifa correspondiente proyectada, considerando el margen de la inflación establecida en los Criterios Generales de Política Económica para 2025. </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La proyección de Productos, Aprovechamientos e Ingresos por Venta de Bienes se realiza con base en la tasa de crecimiento anual observada desde el ejercicio 2018-2024 y una estimación de esfuerzo recaudatorio promedio de 10% anual.</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Los ingresos propios observan un crecimiento promedio anual de 10% en el período, atendiendo a la meta establecida por el Plan Integral de Desarrollo del Estado de Michoacán 2021-2027.</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numPr>
          <w:ilvl w:val="0"/>
          <w:numId w:val="15"/>
        </w:numPr>
        <w:spacing w:before="60"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Ingresos de Fuentes Federales</w:t>
      </w:r>
    </w:p>
    <w:p w:rsidR="00F301E9" w:rsidRPr="00F301E9" w:rsidRDefault="00F301E9" w:rsidP="00F301E9">
      <w:pPr>
        <w:widowControl w:val="0"/>
        <w:kinsoku w:val="0"/>
        <w:spacing w:after="0" w:line="360" w:lineRule="auto"/>
        <w:ind w:left="1080"/>
        <w:contextualSpacing/>
        <w:jc w:val="both"/>
        <w:rPr>
          <w:rFonts w:ascii="Grotesque Light" w:eastAsia="Times New Roman" w:hAnsi="Grotesque Light" w:cs="Times New Roman"/>
          <w:b/>
          <w:bCs/>
          <w:sz w:val="12"/>
          <w:szCs w:val="12"/>
          <w:lang w:val="en-US" w:eastAsia="es-MX"/>
        </w:rPr>
      </w:pPr>
    </w:p>
    <w:p w:rsidR="00F301E9" w:rsidRPr="00F301E9" w:rsidRDefault="00F301E9" w:rsidP="00F301E9">
      <w:pPr>
        <w:spacing w:before="60" w:after="6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La estimación de Participaciones, Aportaciones y Convenios se determinaron con base en el monto nacional definido en el Proyecto de Presupuesto de Egresos de la Federación, que asciende a 1 billón 340 mil 210 millones de pesos, y considerando los coeficientes de distribución observados en los últimos 5 años, en los que Michoacán tiene una participación promedio de 3.32 por ciento en el total nacional.</w:t>
      </w:r>
      <w:r w:rsidRPr="00F301E9">
        <w:rPr>
          <w:rFonts w:ascii="GalanoGrotesque-Light" w:eastAsia="Calibri" w:hAnsi="GalanoGrotesque-Light" w:cs="Times New Roman"/>
          <w:lang w:val="es-ES"/>
        </w:rPr>
        <w:tab/>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lang w:val="es-ES"/>
        </w:rPr>
        <w:tab/>
      </w:r>
      <w:r w:rsidRPr="00F301E9">
        <w:rPr>
          <w:rFonts w:ascii="GalanoGrotesque-Light" w:eastAsia="Calibri" w:hAnsi="GalanoGrotesque-Light" w:cs="Times New Roman"/>
          <w:lang w:val="es-ES"/>
        </w:rPr>
        <w:tab/>
      </w:r>
      <w:r w:rsidRPr="00F301E9">
        <w:rPr>
          <w:rFonts w:ascii="GalanoGrotesque-Light" w:eastAsia="Calibri" w:hAnsi="GalanoGrotesque-Light" w:cs="Times New Roman"/>
          <w:lang w:val="es-ES"/>
        </w:rPr>
        <w:tab/>
      </w:r>
      <w:r w:rsidRPr="00F301E9">
        <w:rPr>
          <w:rFonts w:ascii="GalanoGrotesque-Light" w:eastAsia="Calibri" w:hAnsi="GalanoGrotesque-Light" w:cs="Times New Roman"/>
          <w:lang w:val="es-ES"/>
        </w:rPr>
        <w:tab/>
      </w: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10. Información sobre la Deuda y el Reporte analítico de la deuda.</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a) Utilizar al menos los siguientes indicadores: deuda respecto al PIB y Deuda respecto a la recaudación tomando, como mínimo, un periodo igual o menor de 5 años.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Al 31 de diciembre de 2025, la deuda pública del Estado de Michoacán representa el 3.55% del Producto Interno Bruto estatal estimado, a precios corrientes con año base 2013. Esta proporción refleja una tendencia generalizada a la baja en la razón deuda/PIB, que pasó de 4.69% en 2016 a 3.32% en 2024, lo que evidencia una mejora gradual en la sostenibilidad fiscal de la entidad.</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Esta reducción obedece tanto a un crecimiento económico superior al ritmo de endeudamiento, como a la aplicación de una política financiera responsable orientada al control del saldo de la deuda. Además, el Estado ha mantenido sus indicadores dentro de los parámetros establecidos por la Ley de Disciplina Financiera de las Entidades Federativas y los Municipios.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Cabe destacar que, si bien la razón deuda/PIB tuvo un leve incremento en 3.55% al cierre del cuarto trimestre de 2025, el entorno macroeconómico muestra señales favorables, como la disminución paulatina de la Tasa de Interés Interbancaria de Equilibrio (TIIE a 28 días), así como de la Tasa de Interés Interbancaria de Equilibrio de Fondeo compuesta por adelantado (TIIEF a 28 días), lo que podría contribuir a reducir el costo financiero de la deuda en los próximos periodos.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La evolución de este indicador se presenta en las gráficas siguientes, como parte del análisis integral de sostenibilidad fiscal del Estado:</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noProof/>
          <w:lang w:eastAsia="es-MX"/>
        </w:rPr>
        <w:drawing>
          <wp:inline distT="0" distB="0" distL="0" distR="0" wp14:anchorId="460EE93C" wp14:editId="45168939">
            <wp:extent cx="6351270" cy="815975"/>
            <wp:effectExtent l="0" t="0" r="0" b="3175"/>
            <wp:docPr id="12756012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1270" cy="815975"/>
                    </a:xfrm>
                    <a:prstGeom prst="rect">
                      <a:avLst/>
                    </a:prstGeom>
                    <a:noFill/>
                    <a:ln>
                      <a:noFill/>
                    </a:ln>
                  </pic:spPr>
                </pic:pic>
              </a:graphicData>
            </a:graphic>
          </wp:inline>
        </w:drawing>
      </w:r>
      <w:r w:rsidRPr="00F301E9">
        <w:rPr>
          <w:rFonts w:ascii="GalanoGrotesque-Light" w:eastAsia="Calibri" w:hAnsi="GalanoGrotesque-Light" w:cs="Times New Roman"/>
          <w:bCs/>
          <w:lang w:val="es-ES"/>
        </w:rPr>
        <w:tab/>
      </w: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Cs/>
          <w:noProof/>
          <w:lang w:eastAsia="es-MX"/>
        </w:rPr>
        <w:lastRenderedPageBreak/>
        <w:drawing>
          <wp:inline distT="0" distB="0" distL="0" distR="0" wp14:anchorId="0C9B352A" wp14:editId="39533D7D">
            <wp:extent cx="6351270" cy="2044700"/>
            <wp:effectExtent l="0" t="0" r="0" b="0"/>
            <wp:docPr id="4" name="Imagen 5" descr="Gráfico, Gráfico de líneas&#10;&#10;El contenido generado por IA puede ser incorrecto.">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41F14A6-7E23-3E8C-CEE9-9A2D3FF13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Gráfico, Gráfico de líneas&#10;&#10;El contenido generado por IA puede ser incorrecto.">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41F14A6-7E23-3E8C-CEE9-9A2D3FF13C09}"/>
                        </a:ext>
                      </a:extLst>
                    </pic:cNvPr>
                    <pic:cNvPicPr>
                      <a:picLocks noChangeAspect="1"/>
                    </pic:cNvPicPr>
                  </pic:nvPicPr>
                  <pic:blipFill>
                    <a:blip r:embed="rId15"/>
                    <a:stretch>
                      <a:fillRect/>
                    </a:stretch>
                  </pic:blipFill>
                  <pic:spPr>
                    <a:xfrm>
                      <a:off x="0" y="0"/>
                      <a:ext cx="6351270" cy="2044700"/>
                    </a:xfrm>
                    <a:prstGeom prst="rect">
                      <a:avLst/>
                    </a:prstGeom>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En el mismo sentido, el saldo de la deuda pública del Estado de Michoacán al 31 de diciembre de 2025 representa el 44.57% de los ingresos de libre disposición recaudados en el periodo, manteniéndose dentro de los parámetros establecidos por la Ley de Disciplina Financiera de las Entidades Federativas y los Municipios.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Este indicador permite evaluar la capacidad real del Estado para cubrir sus obligaciones financieras con recursos propios, excluyendo ingresos etiquetados o condicionados. Una razón más elevada implicaría una mayor presión sobre el presupuesto disponible, mientras que una razón descendente refleja un entorno fiscal más saludable.</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La tendencia general de la razón deuda/ingresos de libre disposición ha sido positiva, con una reducción significativa en la carga financiera relativa, pasando de 85.06% en 2016 a 44.57% en diciembre de 2025, aunque con interrupciones temporales en 2020 y 2021 derivadas del impacto económico de la pandemia.</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Esta evolución refleja una mejoría sostenida en la capacidad del Estado para atender sus compromisos financieros con recursos propios, fortaleciendo su sostenibilidad fiscal y alineándose con los criterios de responsabilidad establecidos en el marco normativo vigente.</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lastRenderedPageBreak/>
        <w:t>La trayectoria de este indicador se presenta en las gráficas siguientes, como parte del análisis integral de la posición fiscal del Estado:</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 </w:t>
      </w:r>
    </w:p>
    <w:p w:rsidR="00F301E9" w:rsidRPr="00F301E9" w:rsidRDefault="00F301E9" w:rsidP="00F301E9">
      <w:pPr>
        <w:spacing w:after="0" w:line="360" w:lineRule="auto"/>
        <w:jc w:val="both"/>
        <w:rPr>
          <w:rFonts w:ascii="GalanoGrotesque-Light" w:eastAsia="Calibri" w:hAnsi="GalanoGrotesque-Light" w:cs="Times New Roman"/>
          <w:b/>
          <w:bCs/>
        </w:rPr>
      </w:pPr>
      <w:r w:rsidRPr="00F301E9">
        <w:rPr>
          <w:rFonts w:ascii="GalanoGrotesque-Light" w:eastAsia="Calibri" w:hAnsi="GalanoGrotesque-Light" w:cs="Times New Roman"/>
          <w:bCs/>
          <w:noProof/>
          <w:lang w:eastAsia="es-MX"/>
        </w:rPr>
        <w:drawing>
          <wp:inline distT="0" distB="0" distL="0" distR="0" wp14:anchorId="496AA4D9" wp14:editId="1B42FAC4">
            <wp:extent cx="6351270" cy="787400"/>
            <wp:effectExtent l="0" t="0" r="0" b="0"/>
            <wp:docPr id="10699165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1270" cy="787400"/>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
          <w:bC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Cs/>
          <w:noProof/>
          <w:lang w:eastAsia="es-MX"/>
        </w:rPr>
        <w:drawing>
          <wp:inline distT="0" distB="0" distL="0" distR="0" wp14:anchorId="739AF430" wp14:editId="1A96BE1D">
            <wp:extent cx="6351270" cy="2405380"/>
            <wp:effectExtent l="0" t="0" r="0" b="0"/>
            <wp:docPr id="12" name="Imagen 4" descr="Gráfico, Gráfico de líneas&#10;&#10;El contenido generado por IA puede ser incorrecto.">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1169CFDF-5BAF-9D70-71A6-DEF3B8C91F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Gráfico, Gráfico de líneas&#10;&#10;El contenido generado por IA puede ser incorrecto.">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1169CFDF-5BAF-9D70-71A6-DEF3B8C91F46}"/>
                        </a:ext>
                      </a:extLst>
                    </pic:cNvPr>
                    <pic:cNvPicPr>
                      <a:picLocks noChangeAspect="1"/>
                    </pic:cNvPicPr>
                  </pic:nvPicPr>
                  <pic:blipFill>
                    <a:blip r:embed="rId17"/>
                    <a:stretch>
                      <a:fillRect/>
                    </a:stretch>
                  </pic:blipFill>
                  <pic:spPr>
                    <a:xfrm>
                      <a:off x="0" y="0"/>
                      <a:ext cx="6351270" cy="2405380"/>
                    </a:xfrm>
                    <a:prstGeom prst="rect">
                      <a:avLst/>
                    </a:prstGeom>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11. Calificaciones otorgadas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FITCH RATINGS.</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La calificadora </w:t>
      </w:r>
      <w:proofErr w:type="spellStart"/>
      <w:r w:rsidRPr="00F301E9">
        <w:rPr>
          <w:rFonts w:ascii="GalanoGrotesque-Light" w:eastAsia="Calibri" w:hAnsi="GalanoGrotesque-Light" w:cs="Times New Roman"/>
          <w:bCs/>
          <w:lang w:val="es-ES"/>
        </w:rPr>
        <w:t>Fitch</w:t>
      </w:r>
      <w:proofErr w:type="spellEnd"/>
      <w:r w:rsidRPr="00F301E9">
        <w:rPr>
          <w:rFonts w:ascii="GalanoGrotesque-Light" w:eastAsia="Calibri" w:hAnsi="GalanoGrotesque-Light" w:cs="Times New Roman"/>
          <w:bCs/>
          <w:lang w:val="es-ES"/>
        </w:rPr>
        <w:t xml:space="preserve"> Ratings reafirmó el 24 de julio de 2025 la calificación nacional de ‘AA-(</w:t>
      </w:r>
      <w:proofErr w:type="spellStart"/>
      <w:r w:rsidRPr="00F301E9">
        <w:rPr>
          <w:rFonts w:ascii="GalanoGrotesque-Light" w:eastAsia="Calibri" w:hAnsi="GalanoGrotesque-Light" w:cs="Times New Roman"/>
          <w:bCs/>
          <w:lang w:val="es-ES"/>
        </w:rPr>
        <w:t>mex</w:t>
      </w:r>
      <w:proofErr w:type="spellEnd"/>
      <w:proofErr w:type="gramStart"/>
      <w:r w:rsidRPr="00F301E9">
        <w:rPr>
          <w:rFonts w:ascii="GalanoGrotesque-Light" w:eastAsia="Calibri" w:hAnsi="GalanoGrotesque-Light" w:cs="Times New Roman"/>
          <w:bCs/>
          <w:lang w:val="es-ES"/>
        </w:rPr>
        <w:t>)</w:t>
      </w:r>
      <w:proofErr w:type="spellStart"/>
      <w:r w:rsidRPr="00F301E9">
        <w:rPr>
          <w:rFonts w:ascii="GalanoGrotesque-Light" w:eastAsia="Calibri" w:hAnsi="GalanoGrotesque-Light" w:cs="Times New Roman"/>
          <w:bCs/>
          <w:lang w:val="es-ES"/>
        </w:rPr>
        <w:t>vra</w:t>
      </w:r>
      <w:proofErr w:type="spellEnd"/>
      <w:r w:rsidRPr="00F301E9">
        <w:rPr>
          <w:rFonts w:ascii="GalanoGrotesque-Light" w:eastAsia="Calibri" w:hAnsi="GalanoGrotesque-Light" w:cs="Times New Roman"/>
          <w:bCs/>
          <w:lang w:val="es-ES"/>
        </w:rPr>
        <w:t>’</w:t>
      </w:r>
      <w:proofErr w:type="gramEnd"/>
      <w:r w:rsidRPr="00F301E9">
        <w:rPr>
          <w:rFonts w:ascii="GalanoGrotesque-Light" w:eastAsia="Calibri" w:hAnsi="GalanoGrotesque-Light" w:cs="Times New Roman"/>
          <w:bCs/>
          <w:lang w:val="es-ES"/>
        </w:rPr>
        <w:t xml:space="preserve"> para siete créditos bancarios contratados por el Estado de Michoacán con instituciones de banca comercial y de desarrollo, todos con plazo de 20 años y pagos mensuales.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Seis de los financiamientos tienen como fuente de pago el Fondo General de Participaciones (FGP), mientras que uno se respalda con el Fondo de Aportaciones para el Fortalecimiento de las Entidades Federativas (FAFEF).</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lastRenderedPageBreak/>
        <w:t>La calificación otorgada se fundamenta en la evaluación del riesgo emisor del Estado [BBB</w:t>
      </w:r>
      <w:proofErr w:type="gramStart"/>
      <w:r w:rsidRPr="00F301E9">
        <w:rPr>
          <w:rFonts w:ascii="GalanoGrotesque-Light" w:eastAsia="Calibri" w:hAnsi="GalanoGrotesque-Light" w:cs="Times New Roman"/>
          <w:bCs/>
          <w:lang w:val="es-ES"/>
        </w:rPr>
        <w:t>+(</w:t>
      </w:r>
      <w:proofErr w:type="spellStart"/>
      <w:proofErr w:type="gramEnd"/>
      <w:r w:rsidRPr="00F301E9">
        <w:rPr>
          <w:rFonts w:ascii="GalanoGrotesque-Light" w:eastAsia="Calibri" w:hAnsi="GalanoGrotesque-Light" w:cs="Times New Roman"/>
          <w:bCs/>
          <w:lang w:val="es-ES"/>
        </w:rPr>
        <w:t>mex</w:t>
      </w:r>
      <w:proofErr w:type="spellEnd"/>
      <w:r w:rsidRPr="00F301E9">
        <w:rPr>
          <w:rFonts w:ascii="GalanoGrotesque-Light" w:eastAsia="Calibri" w:hAnsi="GalanoGrotesque-Light" w:cs="Times New Roman"/>
          <w:bCs/>
          <w:lang w:val="es-ES"/>
        </w:rPr>
        <w:t xml:space="preserve">), Perspectiva Estable], así como en los Factores Clave de Calificación (FCC), los cuales </w:t>
      </w:r>
      <w:proofErr w:type="spellStart"/>
      <w:r w:rsidRPr="00F301E9">
        <w:rPr>
          <w:rFonts w:ascii="GalanoGrotesque-Light" w:eastAsia="Calibri" w:hAnsi="GalanoGrotesque-Light" w:cs="Times New Roman"/>
          <w:bCs/>
          <w:lang w:val="es-ES"/>
        </w:rPr>
        <w:t>Fitch</w:t>
      </w:r>
      <w:proofErr w:type="spellEnd"/>
      <w:r w:rsidRPr="00F301E9">
        <w:rPr>
          <w:rFonts w:ascii="GalanoGrotesque-Light" w:eastAsia="Calibri" w:hAnsi="GalanoGrotesque-Light" w:cs="Times New Roman"/>
          <w:bCs/>
          <w:lang w:val="es-ES"/>
        </w:rPr>
        <w:t xml:space="preserve"> valora mayoritariamente en el rango de “Más Fuerte”, permitiendo ubicar la calificación de los créditos cuatro escalones por encima de la del emisor.</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Entre los elementos destacados se encuentran:</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w:t>
      </w:r>
      <w:r w:rsidRPr="00F301E9">
        <w:rPr>
          <w:rFonts w:ascii="GalanoGrotesque-Light" w:eastAsia="Calibri" w:hAnsi="GalanoGrotesque-Light" w:cs="Times New Roman"/>
          <w:bCs/>
          <w:lang w:val="es-ES"/>
        </w:rPr>
        <w:tab/>
        <w:t>Desempeño de activos: El comportamiento del FGP y FAFEF es sólido, estable y predecible, con fórmulas de distribución definidas en el Presupuesto de Egresos de la Federación.</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w:t>
      </w:r>
      <w:r w:rsidRPr="00F301E9">
        <w:rPr>
          <w:rFonts w:ascii="GalanoGrotesque-Light" w:eastAsia="Calibri" w:hAnsi="GalanoGrotesque-Light" w:cs="Times New Roman"/>
          <w:bCs/>
          <w:lang w:val="es-ES"/>
        </w:rPr>
        <w:tab/>
        <w:t>Riesgo de tasa de interés: Evaluado en rango “Más Fuerte”, dada la estructura financiera de los créditos.</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w:t>
      </w:r>
      <w:r w:rsidRPr="00F301E9">
        <w:rPr>
          <w:rFonts w:ascii="GalanoGrotesque-Light" w:eastAsia="Calibri" w:hAnsi="GalanoGrotesque-Light" w:cs="Times New Roman"/>
          <w:bCs/>
          <w:lang w:val="es-ES"/>
        </w:rPr>
        <w:tab/>
        <w:t xml:space="preserve">Fondo de reserva y cobertura de deuda: Ambos se mantienen en rango “Medio”, conforme a los criterios metodológicos de </w:t>
      </w:r>
      <w:proofErr w:type="spellStart"/>
      <w:r w:rsidRPr="00F301E9">
        <w:rPr>
          <w:rFonts w:ascii="GalanoGrotesque-Light" w:eastAsia="Calibri" w:hAnsi="GalanoGrotesque-Light" w:cs="Times New Roman"/>
          <w:bCs/>
          <w:lang w:val="es-ES"/>
        </w:rPr>
        <w:t>Fitch</w:t>
      </w:r>
      <w:proofErr w:type="spellEnd"/>
      <w:r w:rsidRPr="00F301E9">
        <w:rPr>
          <w:rFonts w:ascii="GalanoGrotesque-Light" w:eastAsia="Calibri" w:hAnsi="GalanoGrotesque-Light" w:cs="Times New Roman"/>
          <w:bCs/>
          <w:lang w:val="es-ES"/>
        </w:rPr>
        <w:t>.</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Esta ratificación refleja la solidez estructural de los financiamientos, así como la capacidad del Estado para cumplir con sus obligaciones bajo esquemas de pago respaldados por ingresos federales recurrentes y normativamente definidos.</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 </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HR RATINGS</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La calificadora HR Ratings ratificó el 12 de mayo de 2025 la calificación de ‘HR AAA (E)’ con Perspectiva Estable para ocho Créditos Bancarios Estructurados contratados por el Estado de Michoacán con diversas instituciones financieras, incluyendo </w:t>
      </w:r>
      <w:proofErr w:type="spellStart"/>
      <w:r w:rsidRPr="00F301E9">
        <w:rPr>
          <w:rFonts w:ascii="GalanoGrotesque-Light" w:eastAsia="Calibri" w:hAnsi="GalanoGrotesque-Light" w:cs="Times New Roman"/>
          <w:bCs/>
          <w:lang w:val="es-ES"/>
        </w:rPr>
        <w:t>Banobras</w:t>
      </w:r>
      <w:proofErr w:type="spellEnd"/>
      <w:r w:rsidRPr="00F301E9">
        <w:rPr>
          <w:rFonts w:ascii="GalanoGrotesque-Light" w:eastAsia="Calibri" w:hAnsi="GalanoGrotesque-Light" w:cs="Times New Roman"/>
          <w:bCs/>
          <w:lang w:val="es-ES"/>
        </w:rPr>
        <w:t>, Azteca, Bajío, Banorte y BBVA.</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Esta ratificación se sustenta en el análisis del valor de la Tasa Objetivo de Estrés (TOE), que mide la capacidad del activo </w:t>
      </w:r>
      <w:proofErr w:type="spellStart"/>
      <w:r w:rsidRPr="00F301E9">
        <w:rPr>
          <w:rFonts w:ascii="GalanoGrotesque-Light" w:eastAsia="Calibri" w:hAnsi="GalanoGrotesque-Light" w:cs="Times New Roman"/>
          <w:bCs/>
          <w:lang w:val="es-ES"/>
        </w:rPr>
        <w:t>fideicomitido</w:t>
      </w:r>
      <w:proofErr w:type="spellEnd"/>
      <w:r w:rsidRPr="00F301E9">
        <w:rPr>
          <w:rFonts w:ascii="GalanoGrotesque-Light" w:eastAsia="Calibri" w:hAnsi="GalanoGrotesque-Light" w:cs="Times New Roman"/>
          <w:bCs/>
          <w:lang w:val="es-ES"/>
        </w:rPr>
        <w:t xml:space="preserve"> para cubrir el servicio de la deuda bajo escenarios </w:t>
      </w:r>
      <w:r w:rsidRPr="00F301E9">
        <w:rPr>
          <w:rFonts w:ascii="GalanoGrotesque-Light" w:eastAsia="Calibri" w:hAnsi="GalanoGrotesque-Light" w:cs="Times New Roman"/>
          <w:bCs/>
          <w:lang w:val="es-ES"/>
        </w:rPr>
        <w:lastRenderedPageBreak/>
        <w:t>adversos. En esta revisión, las TOE se ubicaron entre 89.8% y 90.5%, mostrando una mejoría respecto a la evaluación anterior, lo que refleja una mayor solidez en la estructura de pago.</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La calificación ‘HR AAA (E)’ representa el máximo nivel en la escala nacional estructurada, indicando mínimo riesgo crediticio y una alta capacidad del Estado para cumplir con sus obligaciones financieras. Esta evaluación reafirma la fortaleza de los ingresos pignorados, principalmente el Fondo General de Participaciones, así como la disciplina fiscal y la estabilidad estructural de los esquemas financieros implementados por el Estado.</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Adicionalmente, el pasado 3 de septiembre de 2025, HR Ratings revisó al alza la calificación soberana del Estado de Michoacán, pasando de ‘HR BBB+’ a ‘HR A-’, con Perspectiva Estable. Esta mejora refleja el fortalecimiento de las métricas de endeudamiento relativo, el incremento de los Ingresos de Libre Disposición y la reducción del Pasivo Circulante, consolidando la posición financiera del Estado y su capacidad de mantener balances primarios superavitarios en los próximos ejercicios.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MOODY’S LOCAL</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El pasado 14 de julio de 2025, la agencia calificadora </w:t>
      </w:r>
      <w:proofErr w:type="spellStart"/>
      <w:r w:rsidRPr="00F301E9">
        <w:rPr>
          <w:rFonts w:ascii="GalanoGrotesque-Light" w:eastAsia="Calibri" w:hAnsi="GalanoGrotesque-Light" w:cs="Times New Roman"/>
          <w:bCs/>
          <w:lang w:val="es-ES"/>
        </w:rPr>
        <w:t>Moody’s</w:t>
      </w:r>
      <w:proofErr w:type="spellEnd"/>
      <w:r w:rsidRPr="00F301E9">
        <w:rPr>
          <w:rFonts w:ascii="GalanoGrotesque-Light" w:eastAsia="Calibri" w:hAnsi="GalanoGrotesque-Light" w:cs="Times New Roman"/>
          <w:bCs/>
          <w:lang w:val="es-ES"/>
        </w:rPr>
        <w:t xml:space="preserve"> Local México ratificó la calificación de emisor ‘BBB+.mx’ con perspectiva estable, así como la calificación de deuda ‘AAA.mx’ para el Estado de Michoacán.</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Esta acción forma parte de la revisión anual regulatoria que realiza la calificadora, en la cual se evaluó el posicionamiento del Estado conforme a su metodología para gobiernos locales, regionales y federales, así como para créditos respaldados.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La ratificación se sustenta en los siguientes elementos:</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w:t>
      </w:r>
      <w:r w:rsidRPr="00F301E9">
        <w:rPr>
          <w:rFonts w:ascii="GalanoGrotesque-Light" w:eastAsia="Calibri" w:hAnsi="GalanoGrotesque-Light" w:cs="Times New Roman"/>
          <w:bCs/>
          <w:lang w:val="es-ES"/>
        </w:rPr>
        <w:tab/>
        <w:t>Márgenes operativos y financieros equilibrados, que reflejan una gestión fiscal prudente.</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lastRenderedPageBreak/>
        <w:t>•</w:t>
      </w:r>
      <w:r w:rsidRPr="00F301E9">
        <w:rPr>
          <w:rFonts w:ascii="GalanoGrotesque-Light" w:eastAsia="Calibri" w:hAnsi="GalanoGrotesque-Light" w:cs="Times New Roman"/>
          <w:bCs/>
          <w:lang w:val="es-ES"/>
        </w:rPr>
        <w:tab/>
        <w:t>Endeudamiento moderado, con niveles de deuda sostenibles en el mediano plazo.</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w:t>
      </w:r>
      <w:r w:rsidRPr="00F301E9">
        <w:rPr>
          <w:rFonts w:ascii="GalanoGrotesque-Light" w:eastAsia="Calibri" w:hAnsi="GalanoGrotesque-Light" w:cs="Times New Roman"/>
          <w:bCs/>
          <w:lang w:val="es-ES"/>
        </w:rPr>
        <w:tab/>
        <w:t>Coberturas sólidas en escenarios base y de estrés, conforme a los contratos de deuda vigentes.</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w:t>
      </w:r>
      <w:r w:rsidRPr="00F301E9">
        <w:rPr>
          <w:rFonts w:ascii="GalanoGrotesque-Light" w:eastAsia="Calibri" w:hAnsi="GalanoGrotesque-Light" w:cs="Times New Roman"/>
          <w:bCs/>
          <w:lang w:val="es-ES"/>
        </w:rPr>
        <w:tab/>
        <w:t>Uso de deuda de corto plazo por niveles bajos de liquidez, sin comprometer la estabilidad financiera.</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La calificación ‘AAA.mx’ en los instrumentos de deuda refleja las mejoras crediticias contractuales y la fortaleza de los ingresos pignorados, lo que permite mantener el máximo nivel en la escala nacional.</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Esta evaluación reafirma la confianza en la posición fiscal del Estado, así como en su capacidad para cumplir con sus obligaciones financieras bajo esquemas estructurados y normativamente respaldados.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12. Procesos de Mejora</w:t>
      </w: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a) Principales políticas de control interno</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En 2017, con la entrada en vigor del Sistema Nacional Anticorrupción se crea el Sistema Nacional de Fiscalización (SNF) cuyo objetivo entre otros es homologar la normativa en materia de control Interno que se aplica en los tres órdenes de gobierno.</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21 de diciembre de 2020 se publicó en el Periódico Oficial del Gobierno constitucional del Estado de Michoacán, el Acuerdo por el que se emiten las Normas de Aplicación General en Materia de Control Interno para la Administración Pública del Estado de Michoacán de Ocampo.</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Lo anterior es un proceso llevado a cabo por el nivel Directivo de las Dependencias, Coordinaciones o Entidades, diseñado con el objeto de proporcionar un grado de seguridad razonable en cuanto a la consecución de los objetivos relacionados con las operaciones, la información y el cumplimiento.</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En 2022 se llevó a cabo el trabajo de elaboración de una matriz de riesgos, identificando la probabilidad de que un evento o acción adversa pueda ocurrir, y su impacto afecte negativamente en el logro de objetivos y metas, así como las circunstancias, causa o situación interna o externa que aumente la probabilidad de que un riesgo se materialice, para poder identificar estrategias y áreas de oportunidad en la Institución, considerando las etapas de la metodología de administración de riegos.</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De esta manera se identificaron riesgos tanto humanos como financieros, presupuestales, técnicos, administrativos, de tecnologías de la información, normativos y del entorno, los cuales se clasificaron por su probabilidad de ocurrencia de la siguiente manera:</w:t>
      </w:r>
    </w:p>
    <w:p w:rsidR="00F301E9" w:rsidRPr="00F301E9" w:rsidRDefault="00F301E9" w:rsidP="00F301E9">
      <w:pPr>
        <w:spacing w:after="0" w:line="360" w:lineRule="auto"/>
        <w:jc w:val="center"/>
        <w:rPr>
          <w:rFonts w:ascii="GalanoGrotesque-Light" w:eastAsia="Calibri" w:hAnsi="GalanoGrotesque-Light" w:cs="Times New Roman"/>
          <w:bCs/>
          <w:lang w:val="es-ES"/>
        </w:rPr>
      </w:pPr>
      <w:r w:rsidRPr="00F301E9">
        <w:rPr>
          <w:rFonts w:ascii="GalanoGrotesque-Light" w:eastAsia="Calibri" w:hAnsi="GalanoGrotesque-Light" w:cs="Times New Roman"/>
          <w:bCs/>
          <w:noProof/>
          <w:lang w:eastAsia="es-MX"/>
        </w:rPr>
        <w:drawing>
          <wp:inline distT="0" distB="0" distL="0" distR="0" wp14:anchorId="24082EEF" wp14:editId="68FD5CD7">
            <wp:extent cx="2581275" cy="1650549"/>
            <wp:effectExtent l="0" t="0" r="0" b="698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8115" cy="1661317"/>
                    </a:xfrm>
                    <a:prstGeom prst="rect">
                      <a:avLst/>
                    </a:prstGeom>
                    <a:noFill/>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Una vez clasificados los riesgos, se define la estrategia de atención como sigue:</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1. Reducir el riesgo. Implica establecer acciones dirigidas a disminuir la probabilidad de ocurrencia (acciones de prevención) y el impacto (acciones de contingencia), tales como la optimización de los procedimientos y la implementación o mejora de controles. </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2. Asumir el riesgo. Se aplica cuando el riesgo se encuentra en el Cuadrante III, Riesgos Controlados de baja probabilidad de ocurrencia y grado de impacto y puede aceptarse sin necesidad de tomar otras medidas de control diferentes a las que se poseen, o </w:t>
      </w:r>
      <w:r w:rsidRPr="00F301E9">
        <w:rPr>
          <w:rFonts w:ascii="GalanoGrotesque-Light" w:eastAsia="Calibri" w:hAnsi="GalanoGrotesque-Light" w:cs="Times New Roman"/>
          <w:bCs/>
          <w:lang w:val="es-ES"/>
        </w:rPr>
        <w:lastRenderedPageBreak/>
        <w:t xml:space="preserve">cuando no se tiene opción para abatirlo y solo pueden establecerse acciones de contingencia. </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3. Transferir el riesgo. Consiste en trasladar el riesgo a un externo a través de la contratación de servicios </w:t>
      </w:r>
      <w:proofErr w:type="spellStart"/>
      <w:r w:rsidRPr="00F301E9">
        <w:rPr>
          <w:rFonts w:ascii="GalanoGrotesque-Light" w:eastAsia="Calibri" w:hAnsi="GalanoGrotesque-Light" w:cs="Times New Roman"/>
          <w:bCs/>
          <w:lang w:val="es-ES"/>
        </w:rPr>
        <w:t>tercerizados</w:t>
      </w:r>
      <w:proofErr w:type="spellEnd"/>
      <w:r w:rsidRPr="00F301E9">
        <w:rPr>
          <w:rFonts w:ascii="GalanoGrotesque-Light" w:eastAsia="Calibri" w:hAnsi="GalanoGrotesque-Light" w:cs="Times New Roman"/>
          <w:bCs/>
          <w:lang w:val="es-ES"/>
        </w:rPr>
        <w:t xml:space="preserve">, el cual deberá́ tener la experiencia y especialización necesaria para asumir el riesgo, así́ como sus impactos o pérdidas derivadas de su materialización </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4. Compartir el riesgo.- Se refiere a distribuir parcialmente el riesgo y las posibles consecuencias, a efecto de segmentarlo y canalizarlo a diferentes unidades administrativas de la institución, las cuales se responsabilizaran de la parte del riesgo que les corresponda en su ámbito de competencia. </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5. Tolerancia al Riesgo. La Administración deberá́ definir la tolerancia a los riesgos identificados para los objetivos estratégicos definidos por la Institución. En donde la tolerancia al riesgo se debe considerar como el nivel aceptable de diferencia entre el cumplimiento cabal del objetivo estratégico, respecto de su grado real de cumplimiento </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 xml:space="preserve">6. Servicios </w:t>
      </w:r>
      <w:proofErr w:type="spellStart"/>
      <w:r w:rsidRPr="00F301E9">
        <w:rPr>
          <w:rFonts w:ascii="GalanoGrotesque-Light" w:eastAsia="Calibri" w:hAnsi="GalanoGrotesque-Light" w:cs="Times New Roman"/>
          <w:bCs/>
          <w:lang w:val="es-ES"/>
        </w:rPr>
        <w:t>Tercerizados</w:t>
      </w:r>
      <w:proofErr w:type="spellEnd"/>
      <w:r w:rsidRPr="00F301E9">
        <w:rPr>
          <w:rFonts w:ascii="GalanoGrotesque-Light" w:eastAsia="Calibri" w:hAnsi="GalanoGrotesque-Light" w:cs="Times New Roman"/>
          <w:bCs/>
          <w:lang w:val="es-ES"/>
        </w:rPr>
        <w:t xml:space="preserve">. La Administración conserva la responsabilidad sobre el desempeño de las actividades realizadas por los servicios </w:t>
      </w:r>
      <w:proofErr w:type="spellStart"/>
      <w:r w:rsidRPr="00F301E9">
        <w:rPr>
          <w:rFonts w:ascii="GalanoGrotesque-Light" w:eastAsia="Calibri" w:hAnsi="GalanoGrotesque-Light" w:cs="Times New Roman"/>
          <w:bCs/>
          <w:lang w:val="es-ES"/>
        </w:rPr>
        <w:t>tercerizados</w:t>
      </w:r>
      <w:proofErr w:type="spellEnd"/>
      <w:r w:rsidRPr="00F301E9">
        <w:rPr>
          <w:rFonts w:ascii="GalanoGrotesque-Light" w:eastAsia="Calibri" w:hAnsi="GalanoGrotesque-Light" w:cs="Times New Roman"/>
          <w:bCs/>
          <w:lang w:val="es-ES"/>
        </w:rPr>
        <w:t xml:space="preserve"> que contrate para realizar algunos procesos operativos para la institución, tales como servicios de tecnologías de información y comunicaciones, servicios de mantenimiento, servicios de seguridad o servicios de limpieza</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De esta manera se pretende avanzar en la mejora de la administración pública en cumplimiento de la normativa aplicable.</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b) Medidas de Desempeño Financiero, Metas y Alcance</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Con fundamento en lo establecido en el artículo 134 de la Constitución Política de los Estados Unidos Mexicanos,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En concordancia, los recursos recaudados por el Gobierno del Estado de Michoacán son destinados al Gasto a fin de cumplir con el mandato del Plan Estatal de Desarrollo (PED) y el Plan Nacional de Desarrollo (PND), honrando el pacto social que corresponde cumplir al gobierno, en materia de Gestión y Desarrollo Financiero, con un manejo responsable de las finanzas públicas en apego a la austeridad republicana.</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Se implementa el Presupuesto basado en Resultados (</w:t>
      </w:r>
      <w:proofErr w:type="spellStart"/>
      <w:r w:rsidRPr="00F301E9">
        <w:rPr>
          <w:rFonts w:ascii="GalanoGrotesque-Light" w:eastAsia="Calibri" w:hAnsi="GalanoGrotesque-Light" w:cs="Times New Roman"/>
          <w:lang w:val="es-ES"/>
        </w:rPr>
        <w:t>PbR</w:t>
      </w:r>
      <w:proofErr w:type="spellEnd"/>
      <w:r w:rsidRPr="00F301E9">
        <w:rPr>
          <w:rFonts w:ascii="GalanoGrotesque-Light" w:eastAsia="Calibri" w:hAnsi="GalanoGrotesque-Light" w:cs="Times New Roman"/>
          <w:lang w:val="es-ES"/>
        </w:rPr>
        <w:t>) de una manera gradual y sostenible, con la finalidad de evaluar las políticas públicas, los programas presupuestarios y el desempeño de las dependencias.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El Presupuesto estatal se estructura de acuerdo a programas presupuestarios que responden a problemáticas plenamente identificadas y dirigidos a una población objetivo-definida. Cada uno de los programas diseñados cuenta con indicadores estratégicos y de gestión que permiten medir sus avances y son la base del Presupuesto basado en Resultados y el Sistema de Evaluación del Desempeño. </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El Sistema de Evaluación de Desempeño (SED) como elemento central del funcionamiento del PBR, está compuesto por un conjunto de procesos mediante los que se realiza el seguimiento y la evaluación sistemática de las políticas y los programas de las entidades y dependencias para contribuir a la consecución de los objetivos </w:t>
      </w:r>
      <w:r w:rsidRPr="00F301E9">
        <w:rPr>
          <w:rFonts w:ascii="GalanoGrotesque-Light" w:eastAsia="Calibri" w:hAnsi="GalanoGrotesque-Light" w:cs="Times New Roman"/>
          <w:lang w:val="es-ES"/>
        </w:rPr>
        <w:lastRenderedPageBreak/>
        <w:t>establecidos en los Planes Nacional y Estatal de Desarrollo y los programas que se derivan de estos.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En este sentido, se incluye un Sistema de Indicadores Estratégicos que permitirá observar con toda claridad, el avance y cumplimiento de los objetivos planteados, mediante el monitoreo de las metas establecidas y los resultados alcanzados en cada uno de los citados indicadores.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La adecuada ejecución de estos planes coadyuva a que el Estado se convierta en el centro de desarrollo que permita mejorar la calidad de vida y transforme a Michoacán en el mejor lugar.</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seguimiento a las metas y objetivos se encuentra detallado en la Matriz de Indicadores para Resultados así como el seguimiento del Análisis Programático Presupuestario que se encuentra publicado en la página de la Secretaría de Finanzas y Administración.</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13. Información por segmentos</w:t>
      </w: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Cs/>
          <w:lang w:val="es-ES"/>
        </w:rPr>
        <w:t>Para el periodo que se reporta, no existe información referente a segmentos por revelar.</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14. Eventos Posteriores al Cierre</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El Gobierno del Estado de Michoacán no reconoce eventos posteriores al cierre que de manera significativa puedan afectar de manera económica, las cifras que se presentan en el presente informe.</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15.</w:t>
      </w:r>
      <w:r w:rsidRPr="00F301E9">
        <w:rPr>
          <w:rFonts w:ascii="GalanoGrotesque-Light" w:eastAsia="Calibri" w:hAnsi="GalanoGrotesque-Light" w:cs="Times New Roman"/>
          <w:b/>
          <w:lang w:val="es-ES"/>
        </w:rPr>
        <w:tab/>
        <w:t>Partes Relacionadas</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No existen partes relacionadas que pudieran ejercer influencia significativa en la toma de decisiones financieras y operativas.</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Lo anterior, se refiere a que no existen entes o personas que tengan la capacidad de controlar o ejercer dicha influencia en la Administración Pública del Gobierno del Estado de Michoacán.</w:t>
      </w:r>
    </w:p>
    <w:p w:rsidR="00F301E9" w:rsidRPr="00F301E9" w:rsidRDefault="00F301E9" w:rsidP="00F301E9">
      <w:pPr>
        <w:spacing w:after="0" w:line="360" w:lineRule="auto"/>
        <w:jc w:val="both"/>
        <w:rPr>
          <w:rFonts w:ascii="GalanoGrotesque-Light" w:eastAsia="Calibri" w:hAnsi="GalanoGrotesque-Light" w:cs="Times New Roman"/>
          <w:b/>
          <w:bCs/>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b/>
          <w:bCs/>
          <w:color w:val="000000"/>
          <w:lang w:val="es-ES"/>
        </w:rPr>
      </w:pPr>
      <w:r w:rsidRPr="00F301E9">
        <w:rPr>
          <w:rFonts w:ascii="GalanoGrotesque-Light" w:eastAsia="Calibri" w:hAnsi="GalanoGrotesque-Light" w:cs="Times New Roman"/>
          <w:b/>
          <w:bCs/>
          <w:color w:val="000000"/>
          <w:lang w:val="es-ES"/>
        </w:rPr>
        <w:lastRenderedPageBreak/>
        <w:t>16. Responsabilidad sobre la presentación razonable de la información contable</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Los Estados Financieros contables están firmados al calce, bajo protesta de decir verdad, declarando que estos y sus notas son razonablemente correctos y son responsabilidad del emisor.</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center"/>
        <w:rPr>
          <w:rFonts w:ascii="GalanoGrotesque-Light" w:eastAsia="Calibri" w:hAnsi="GalanoGrotesque-Light" w:cs="Times New Roman"/>
          <w:b/>
          <w:sz w:val="28"/>
          <w:szCs w:val="28"/>
          <w:lang w:val="es-ES"/>
        </w:rPr>
      </w:pPr>
      <w:r w:rsidRPr="00F301E9">
        <w:rPr>
          <w:rFonts w:ascii="GalanoGrotesque-Light" w:eastAsia="Calibri" w:hAnsi="GalanoGrotesque-Light" w:cs="Times New Roman"/>
          <w:b/>
          <w:sz w:val="28"/>
          <w:szCs w:val="28"/>
          <w:lang w:val="es-ES"/>
        </w:rPr>
        <w:t>b) NOTAS DE DESGLOSE</w:t>
      </w:r>
    </w:p>
    <w:p w:rsidR="00F301E9" w:rsidRPr="00F301E9" w:rsidRDefault="00F301E9" w:rsidP="00F301E9">
      <w:pPr>
        <w:widowControl w:val="0"/>
        <w:spacing w:after="0" w:line="360" w:lineRule="auto"/>
        <w:rPr>
          <w:rFonts w:ascii="GalanoGrotesque-Light" w:eastAsia="Calibri" w:hAnsi="GalanoGrotesque-Light" w:cs="Times New Roman"/>
          <w:b/>
          <w:sz w:val="28"/>
          <w:szCs w:val="28"/>
          <w:lang w:val="es-ES"/>
        </w:rPr>
      </w:pPr>
      <w:r w:rsidRPr="00F301E9">
        <w:rPr>
          <w:rFonts w:ascii="GalanoGrotesque-Light" w:eastAsia="Calibri" w:hAnsi="GalanoGrotesque-Light" w:cs="Times New Roman"/>
          <w:b/>
          <w:sz w:val="24"/>
          <w:szCs w:val="24"/>
          <w:lang w:val="es-ES"/>
        </w:rPr>
        <w:t>I). NOTAS AL ESTADO DE ACTIVIDADES</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 xml:space="preserve">Este estado financiero, muestra dos grandes agregados representados por los </w:t>
      </w:r>
      <w:r w:rsidRPr="00F301E9">
        <w:rPr>
          <w:rFonts w:ascii="GalanoGrotesque-Light" w:eastAsia="Calibri" w:hAnsi="GalanoGrotesque-Light" w:cs="Times New Roman"/>
          <w:b/>
          <w:color w:val="000000"/>
          <w:lang w:val="es-ES"/>
        </w:rPr>
        <w:t>ingresos y otros beneficios</w:t>
      </w:r>
      <w:r w:rsidRPr="00F301E9">
        <w:rPr>
          <w:rFonts w:ascii="GalanoGrotesque-Light" w:eastAsia="Calibri" w:hAnsi="GalanoGrotesque-Light" w:cs="Times New Roman"/>
          <w:color w:val="000000"/>
          <w:lang w:val="es-ES"/>
        </w:rPr>
        <w:t xml:space="preserve">, así como los </w:t>
      </w:r>
      <w:r w:rsidRPr="00F301E9">
        <w:rPr>
          <w:rFonts w:ascii="GalanoGrotesque-Light" w:eastAsia="Calibri" w:hAnsi="GalanoGrotesque-Light" w:cs="Times New Roman"/>
          <w:b/>
          <w:color w:val="000000"/>
          <w:lang w:val="es-ES"/>
        </w:rPr>
        <w:t>gastos y otras pérdidas</w:t>
      </w:r>
      <w:r w:rsidRPr="00F301E9">
        <w:rPr>
          <w:rFonts w:ascii="GalanoGrotesque-Light" w:eastAsia="Calibri" w:hAnsi="GalanoGrotesque-Light" w:cs="Times New Roman"/>
          <w:color w:val="000000"/>
          <w:lang w:val="es-ES"/>
        </w:rPr>
        <w:t xml:space="preserve">, mostrando los conceptos del ingreso y los gastos con los conceptos de los Clasificadores por Rubros de Ingresos y por Objeto del Gasto, de acuerdo a la Ley de Ingresos del Estado de Michoacán de Ocampo para el ejercicio fiscal 2025 y al Decreto que contiene de Presupuesto de Egresos del Gobierno del Estado de Michoacán de Ocampo del mismo ejercicio; así mismo, permite determinar el resultado del ejercicio, el cual refleja un ahorro de 3 mil 932 millones 262 mil 524 pesos.  </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Arial" w:eastAsia="Calibri" w:hAnsi="Arial" w:cs="Arial"/>
          <w:lang w:val="es-ES"/>
        </w:rPr>
      </w:pPr>
      <w:r w:rsidRPr="00F301E9">
        <w:rPr>
          <w:rFonts w:ascii="GalanoGrotesque-Light" w:eastAsia="Calibri" w:hAnsi="GalanoGrotesque-Light" w:cs="Times New Roman"/>
          <w:color w:val="000000"/>
          <w:lang w:val="es-ES"/>
        </w:rPr>
        <w:t xml:space="preserve">1. Los ingresos obtenidos al </w:t>
      </w:r>
      <w:r w:rsidRPr="00F301E9">
        <w:rPr>
          <w:rFonts w:ascii="GalanoGrotesque-Light" w:eastAsia="Calibri" w:hAnsi="GalanoGrotesque-Light" w:cs="Times New Roman"/>
          <w:bCs/>
          <w:color w:val="000000"/>
          <w:lang w:val="es-ES"/>
        </w:rPr>
        <w:t>cuarto</w:t>
      </w:r>
      <w:r w:rsidRPr="00F301E9">
        <w:rPr>
          <w:rFonts w:ascii="GalanoGrotesque-Light" w:eastAsia="Calibri" w:hAnsi="GalanoGrotesque-Light" w:cs="Times New Roman"/>
          <w:color w:val="000000"/>
          <w:lang w:val="es-ES"/>
        </w:rPr>
        <w:t xml:space="preserve"> trimestre del ejercicio fiscal que se informa, ascienden a 105 mil 790 millones 40 mil 334 pesos, que se integran principalmente por participaciones, aportaciones, transferencias, asignaciones, subsidios y otras ayudas que representan el 92.13% </w:t>
      </w:r>
      <w:r w:rsidRPr="00F301E9">
        <w:rPr>
          <w:rFonts w:ascii="GalanoGrotesque-Light" w:eastAsia="Calibri" w:hAnsi="GalanoGrotesque-Light" w:cs="Times New Roman"/>
          <w:lang w:val="es-ES"/>
        </w:rPr>
        <w:t>así como ingresos de la gestión que representan el 7.87%, como se detalla a continuación:</w:t>
      </w:r>
      <w:r w:rsidRPr="00F301E9">
        <w:rPr>
          <w:rFonts w:ascii="Arial" w:eastAsia="Calibri" w:hAnsi="Arial" w:cs="Arial"/>
          <w:lang w:val="es-ES"/>
        </w:rPr>
        <w:t xml:space="preserve"> </w:t>
      </w:r>
    </w:p>
    <w:p w:rsidR="00F301E9" w:rsidRPr="00F301E9" w:rsidRDefault="00F301E9" w:rsidP="00F301E9">
      <w:pPr>
        <w:spacing w:after="0" w:line="360" w:lineRule="auto"/>
        <w:jc w:val="both"/>
        <w:rPr>
          <w:rFonts w:ascii="Arial" w:eastAsia="Calibri" w:hAnsi="Arial" w:cs="Arial"/>
          <w:lang w:val="es-ES"/>
        </w:rPr>
      </w:pPr>
    </w:p>
    <w:p w:rsidR="00F301E9" w:rsidRPr="00F301E9" w:rsidRDefault="00F301E9" w:rsidP="00F301E9">
      <w:pPr>
        <w:spacing w:after="0" w:line="360" w:lineRule="auto"/>
        <w:jc w:val="both"/>
        <w:rPr>
          <w:rFonts w:ascii="Arial" w:eastAsia="Calibri" w:hAnsi="Arial" w:cs="Arial"/>
          <w:lang w:val="es-ES"/>
        </w:rPr>
      </w:pPr>
      <w:r w:rsidRPr="00F301E9">
        <w:rPr>
          <w:rFonts w:ascii="GalanoGrotesque-Light" w:eastAsia="Calibri" w:hAnsi="GalanoGrotesque-Light" w:cs="Times New Roman"/>
          <w:noProof/>
          <w:sz w:val="24"/>
          <w:szCs w:val="24"/>
          <w:lang w:eastAsia="es-MX"/>
        </w:rPr>
        <w:lastRenderedPageBreak/>
        <w:drawing>
          <wp:inline distT="0" distB="0" distL="0" distR="0" wp14:anchorId="5ADF9206" wp14:editId="4DF1DBED">
            <wp:extent cx="6350635" cy="1143000"/>
            <wp:effectExtent l="0" t="0" r="0" b="0"/>
            <wp:docPr id="604720002" name="Imagen 6047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61486" cy="1144953"/>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
          <w:color w:val="833C0B"/>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r w:rsidRPr="00F301E9">
        <w:rPr>
          <w:rFonts w:ascii="GalanoGrotesque-Light" w:eastAsia="Calibri" w:hAnsi="GalanoGrotesque-Light" w:cs="Times New Roman"/>
          <w:lang w:val="es-ES"/>
        </w:rPr>
        <w:t xml:space="preserve">En relación con los ingresos obtenidos, se encuentra en forma específica un análisis por concepto, en el apartado </w:t>
      </w:r>
      <w:r w:rsidRPr="00F301E9">
        <w:rPr>
          <w:rFonts w:ascii="GalanoGrotesque-Light" w:eastAsia="Calibri" w:hAnsi="GalanoGrotesque-Light" w:cs="Times New Roman"/>
          <w:b/>
          <w:bCs/>
          <w:sz w:val="24"/>
          <w:szCs w:val="24"/>
          <w:lang w:val="es-ES"/>
        </w:rPr>
        <w:t xml:space="preserve">II.1.c ANALISIS DE INGRESOS, </w:t>
      </w:r>
      <w:r w:rsidRPr="00F301E9">
        <w:rPr>
          <w:rFonts w:ascii="GalanoGrotesque-Light" w:eastAsia="Calibri" w:hAnsi="GalanoGrotesque-Light" w:cs="Times New Roman"/>
          <w:sz w:val="24"/>
          <w:szCs w:val="24"/>
          <w:lang w:val="es-ES"/>
        </w:rPr>
        <w:t>por lo que en este apartado se informa de manera general.</w:t>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b/>
          <w:bCs/>
          <w:sz w:val="24"/>
          <w:szCs w:val="24"/>
          <w:lang w:val="es-ES"/>
        </w:rPr>
      </w:pPr>
      <w:r w:rsidRPr="00F301E9">
        <w:rPr>
          <w:rFonts w:ascii="GalanoGrotesque-Light" w:eastAsia="Calibri" w:hAnsi="GalanoGrotesque-Light" w:cs="Times New Roman"/>
          <w:b/>
          <w:bCs/>
          <w:sz w:val="24"/>
          <w:szCs w:val="24"/>
          <w:lang w:val="es-ES"/>
        </w:rPr>
        <w:t>- INGRESOS DE GESTIÓN</w:t>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r w:rsidRPr="00F301E9">
        <w:rPr>
          <w:rFonts w:ascii="GalanoGrotesque-Light" w:eastAsia="Calibri" w:hAnsi="GalanoGrotesque-Light" w:cs="Times New Roman"/>
          <w:sz w:val="24"/>
          <w:szCs w:val="24"/>
          <w:lang w:val="es-ES"/>
        </w:rPr>
        <w:t>Los rubros de impuestos, cuotas y aportaciones de seguridad social, contribuciones de mejoras, derechos, productos, aprovechamientos y de ingresos por ventas de bienes y prestación de servicios, los cuales están armonizados en los rubros del Clasificador por Rubro de Ingresos (CRI), se informan los montos totales obtenidos por 8 mil 312 millones 82 mil 243 pesos, como sigue:</w:t>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r w:rsidRPr="00F301E9">
        <w:rPr>
          <w:rFonts w:ascii="GalanoGrotesque-Light" w:eastAsia="Calibri" w:hAnsi="GalanoGrotesque-Light" w:cs="Times New Roman"/>
          <w:noProof/>
          <w:sz w:val="24"/>
          <w:szCs w:val="24"/>
          <w:lang w:eastAsia="es-MX"/>
        </w:rPr>
        <w:drawing>
          <wp:inline distT="0" distB="0" distL="0" distR="0" wp14:anchorId="528EF494" wp14:editId="5149B7AB">
            <wp:extent cx="6349080" cy="990600"/>
            <wp:effectExtent l="0" t="0" r="0" b="0"/>
            <wp:docPr id="604720005" name="Imagen 60472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6170" cy="991706"/>
                    </a:xfrm>
                    <a:prstGeom prst="rect">
                      <a:avLst/>
                    </a:prstGeom>
                    <a:noFill/>
                    <a:ln>
                      <a:noFill/>
                    </a:ln>
                  </pic:spPr>
                </pic:pic>
              </a:graphicData>
            </a:graphic>
          </wp:inline>
        </w:drawing>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b/>
          <w:bCs/>
          <w:sz w:val="24"/>
          <w:szCs w:val="24"/>
          <w:lang w:val="es-ES"/>
        </w:rPr>
      </w:pPr>
      <w:r w:rsidRPr="00F301E9">
        <w:rPr>
          <w:rFonts w:ascii="GalanoGrotesque-Light" w:eastAsia="Calibri" w:hAnsi="GalanoGrotesque-Light" w:cs="Times New Roman"/>
          <w:b/>
          <w:bCs/>
          <w:sz w:val="24"/>
          <w:szCs w:val="24"/>
          <w:lang w:val="es-ES"/>
        </w:rPr>
        <w:t>- PARTICIPACIONES, APORTACIONES, CONVENIOS, INCENTIVOS DERIVADOS DE LA COLABORACIÓN FISCAL, FONDOS DISTINTOS DE APORTACIONES, TRANSFERENCIAS, ASIGNACIONES, SUBSIDIOS Y SUBVENCIONES, Y PENSIONES Y JUBILACIONES.</w:t>
      </w:r>
    </w:p>
    <w:p w:rsidR="00F301E9" w:rsidRPr="00F301E9" w:rsidRDefault="00F301E9" w:rsidP="00F301E9">
      <w:pPr>
        <w:spacing w:before="60" w:after="6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color w:val="000000"/>
          <w:lang w:val="es-ES"/>
        </w:rPr>
        <w:t xml:space="preserve">De los rubros de participaciones, aportaciones, convenios, incentivos derivados de la colaboración fiscal, fondos distintos de </w:t>
      </w:r>
      <w:r w:rsidRPr="00F301E9">
        <w:rPr>
          <w:rFonts w:ascii="GalanoGrotesque-Light" w:eastAsia="Calibri" w:hAnsi="GalanoGrotesque-Light" w:cs="Times New Roman"/>
          <w:color w:val="000000"/>
          <w:lang w:val="es-ES"/>
        </w:rPr>
        <w:lastRenderedPageBreak/>
        <w:t xml:space="preserve">aportaciones, transferencias, asignaciones, subsidios y subvenciones; y pensiones y jubilaciones, </w:t>
      </w:r>
      <w:r w:rsidRPr="00F301E9">
        <w:rPr>
          <w:rFonts w:ascii="GalanoGrotesque-Light" w:eastAsia="Calibri" w:hAnsi="GalanoGrotesque-Light" w:cs="Times New Roman"/>
          <w:lang w:val="es-ES"/>
        </w:rPr>
        <w:t>están armonizados en los rubros del Clasificador por Rubro de Ingresos (CRI), se informan los montos totales obtenidos por 97 mil 460 millones 649 mil 148 pesos, como sigue:</w:t>
      </w:r>
    </w:p>
    <w:p w:rsidR="00F301E9" w:rsidRPr="00F301E9" w:rsidRDefault="00F301E9" w:rsidP="00F301E9">
      <w:pPr>
        <w:spacing w:before="60" w:after="60" w:line="360" w:lineRule="auto"/>
        <w:jc w:val="both"/>
        <w:rPr>
          <w:rFonts w:ascii="GalanoGrotesque-Light" w:eastAsia="Calibri" w:hAnsi="GalanoGrotesque-Light" w:cs="Times New Roman"/>
          <w:lang w:val="es-ES"/>
        </w:rPr>
      </w:pPr>
    </w:p>
    <w:p w:rsidR="00F301E9" w:rsidRPr="00F301E9" w:rsidRDefault="00F301E9" w:rsidP="00F301E9">
      <w:pPr>
        <w:spacing w:before="60" w:after="6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noProof/>
          <w:sz w:val="24"/>
          <w:szCs w:val="24"/>
          <w:lang w:eastAsia="es-MX"/>
        </w:rPr>
        <w:drawing>
          <wp:inline distT="0" distB="0" distL="0" distR="0" wp14:anchorId="1417F629" wp14:editId="764B50F8">
            <wp:extent cx="6347257" cy="828675"/>
            <wp:effectExtent l="0" t="0" r="0" b="0"/>
            <wp:docPr id="604720006" name="Imagen 60472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9923" cy="830329"/>
                    </a:xfrm>
                    <a:prstGeom prst="rect">
                      <a:avLst/>
                    </a:prstGeom>
                    <a:noFill/>
                    <a:ln>
                      <a:noFill/>
                    </a:ln>
                  </pic:spPr>
                </pic:pic>
              </a:graphicData>
            </a:graphic>
          </wp:inline>
        </w:drawing>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b/>
          <w:bCs/>
          <w:color w:val="000000"/>
          <w:lang w:val="es-ES"/>
        </w:rPr>
      </w:pPr>
      <w:r w:rsidRPr="00F301E9">
        <w:rPr>
          <w:rFonts w:ascii="GalanoGrotesque-Light" w:eastAsia="Calibri" w:hAnsi="GalanoGrotesque-Light" w:cs="Times New Roman"/>
          <w:b/>
          <w:bCs/>
          <w:color w:val="000000"/>
          <w:lang w:val="es-ES"/>
        </w:rPr>
        <w:t>- OTROS INGRESOS Y BENEFICIOS</w:t>
      </w:r>
    </w:p>
    <w:p w:rsidR="00F301E9" w:rsidRPr="00F301E9" w:rsidRDefault="00F301E9" w:rsidP="00F301E9">
      <w:pPr>
        <w:spacing w:before="60" w:after="60" w:line="360" w:lineRule="auto"/>
        <w:jc w:val="both"/>
        <w:rPr>
          <w:rFonts w:ascii="GalanoGrotesque-Light" w:eastAsia="Calibri" w:hAnsi="GalanoGrotesque-Light" w:cs="Times New Roman"/>
          <w:bCs/>
          <w:color w:val="000000"/>
          <w:lang w:val="es-ES"/>
        </w:rPr>
      </w:pPr>
      <w:r w:rsidRPr="00F301E9">
        <w:rPr>
          <w:rFonts w:ascii="GalanoGrotesque-Light" w:eastAsia="Calibri" w:hAnsi="GalanoGrotesque-Light" w:cs="Times New Roman"/>
          <w:bCs/>
          <w:color w:val="000000"/>
          <w:lang w:val="es-ES"/>
        </w:rPr>
        <w:t>Se compone de los rubros de ingresos financieros, incremento por variación de inventarios, disminución del exceso por pérdida o Deterioro u obsolescencia, disminución de excesos de provisiones y de otros ingresos y beneficios varios y se informan los montos totales como sigue:</w:t>
      </w:r>
    </w:p>
    <w:p w:rsidR="00F301E9" w:rsidRPr="00F301E9" w:rsidRDefault="00F301E9" w:rsidP="00F301E9">
      <w:pPr>
        <w:spacing w:before="60" w:after="60" w:line="360" w:lineRule="auto"/>
        <w:jc w:val="both"/>
        <w:rPr>
          <w:rFonts w:ascii="GalanoGrotesque-Light" w:eastAsia="Calibri" w:hAnsi="GalanoGrotesque-Light" w:cs="Times New Roman"/>
          <w:bCs/>
          <w:color w:val="000000"/>
          <w:lang w:val="es-ES"/>
        </w:rPr>
      </w:pPr>
    </w:p>
    <w:p w:rsidR="00F301E9" w:rsidRPr="00F301E9" w:rsidRDefault="00F301E9" w:rsidP="00F301E9">
      <w:pPr>
        <w:spacing w:before="60" w:after="60" w:line="360" w:lineRule="auto"/>
        <w:jc w:val="both"/>
        <w:rPr>
          <w:rFonts w:ascii="GalanoGrotesque-Light" w:eastAsia="Calibri" w:hAnsi="GalanoGrotesque-Light" w:cs="Times New Roman"/>
          <w:bCs/>
          <w:color w:val="000000"/>
          <w:lang w:val="es-ES"/>
        </w:rPr>
      </w:pPr>
      <w:r w:rsidRPr="00F301E9">
        <w:rPr>
          <w:rFonts w:ascii="GalanoGrotesque-Light" w:eastAsia="Calibri" w:hAnsi="GalanoGrotesque-Light" w:cs="Times New Roman"/>
          <w:noProof/>
          <w:sz w:val="24"/>
          <w:szCs w:val="24"/>
          <w:lang w:eastAsia="es-MX"/>
        </w:rPr>
        <w:drawing>
          <wp:inline distT="0" distB="0" distL="0" distR="0" wp14:anchorId="426E1E46" wp14:editId="158C37BA">
            <wp:extent cx="6348156" cy="914400"/>
            <wp:effectExtent l="0" t="0" r="0" b="0"/>
            <wp:docPr id="604720007" name="Imagen 60472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4784" cy="921116"/>
                    </a:xfrm>
                    <a:prstGeom prst="rect">
                      <a:avLst/>
                    </a:prstGeom>
                    <a:noFill/>
                    <a:ln>
                      <a:noFill/>
                    </a:ln>
                  </pic:spPr>
                </pic:pic>
              </a:graphicData>
            </a:graphic>
          </wp:inline>
        </w:drawing>
      </w:r>
    </w:p>
    <w:p w:rsidR="00F301E9" w:rsidRPr="00F301E9" w:rsidRDefault="00F301E9" w:rsidP="00F301E9">
      <w:pPr>
        <w:spacing w:before="60" w:after="60" w:line="360" w:lineRule="auto"/>
        <w:jc w:val="both"/>
        <w:rPr>
          <w:rFonts w:ascii="GalanoGrotesque-Light" w:eastAsia="Calibri" w:hAnsi="GalanoGrotesque-Light" w:cs="Times New Roman"/>
          <w:bCs/>
          <w:color w:val="000000"/>
          <w:lang w:val="es-ES"/>
        </w:rPr>
      </w:pPr>
    </w:p>
    <w:p w:rsidR="00F301E9" w:rsidRPr="00F301E9" w:rsidRDefault="00F301E9" w:rsidP="00F301E9">
      <w:pPr>
        <w:spacing w:before="60" w:after="60" w:line="360" w:lineRule="auto"/>
        <w:jc w:val="both"/>
        <w:rPr>
          <w:rFonts w:ascii="GalanoGrotesque-Light" w:eastAsia="Calibri" w:hAnsi="GalanoGrotesque-Light" w:cs="Times New Roman"/>
          <w:bCs/>
          <w:color w:val="000000"/>
          <w:lang w:val="es-ES"/>
        </w:rPr>
      </w:pPr>
    </w:p>
    <w:p w:rsidR="00F301E9" w:rsidRPr="00F301E9" w:rsidRDefault="00F301E9" w:rsidP="00F301E9">
      <w:pPr>
        <w:spacing w:before="60" w:after="60" w:line="360" w:lineRule="auto"/>
        <w:jc w:val="both"/>
        <w:rPr>
          <w:rFonts w:ascii="GalanoGrotesque-Light" w:eastAsia="Calibri" w:hAnsi="GalanoGrotesque-Light" w:cs="Times New Roman"/>
          <w:b/>
          <w:bCs/>
          <w:color w:val="000000"/>
          <w:lang w:val="es-ES"/>
        </w:rPr>
      </w:pPr>
      <w:r w:rsidRPr="00F301E9">
        <w:rPr>
          <w:rFonts w:ascii="GalanoGrotesque-Light" w:eastAsia="Calibri" w:hAnsi="GalanoGrotesque-Light" w:cs="Times New Roman"/>
          <w:b/>
          <w:bCs/>
          <w:color w:val="000000"/>
          <w:lang w:val="es-ES"/>
        </w:rPr>
        <w:t>GASTOS Y OTRAS PÉRDIDAS</w:t>
      </w:r>
    </w:p>
    <w:p w:rsidR="00F301E9" w:rsidRPr="00F301E9" w:rsidRDefault="00F301E9" w:rsidP="00F301E9">
      <w:pPr>
        <w:spacing w:before="60" w:after="60" w:line="360" w:lineRule="auto"/>
        <w:jc w:val="both"/>
        <w:rPr>
          <w:rFonts w:ascii="Arial" w:eastAsia="Calibri" w:hAnsi="Arial" w:cs="Arial"/>
          <w:color w:val="000000"/>
          <w:lang w:val="es-ES"/>
        </w:rPr>
      </w:pPr>
      <w:r w:rsidRPr="00F301E9">
        <w:rPr>
          <w:rFonts w:ascii="GalanoGrotesque-Light" w:eastAsia="Calibri" w:hAnsi="GalanoGrotesque-Light" w:cs="Times New Roman"/>
          <w:color w:val="000000"/>
          <w:lang w:val="es-ES"/>
        </w:rPr>
        <w:t>1. En lo relativo al gasto y otras pérdidas, se refleja el gasto devengado, en cumplimiento de la normatividad emitida por el Consejo Nacional de Armonización Contable, el cual ascendió a 101 mil 857 millones 777 mil 810 pesos como se detalla enseguida:</w:t>
      </w:r>
      <w:r w:rsidRPr="00F301E9">
        <w:rPr>
          <w:rFonts w:ascii="Arial" w:eastAsia="Calibri" w:hAnsi="Arial" w:cs="Arial"/>
          <w:color w:val="000000"/>
          <w:lang w:val="es-ES"/>
        </w:rPr>
        <w:t xml:space="preserve"> </w:t>
      </w:r>
    </w:p>
    <w:p w:rsidR="00F301E9" w:rsidRPr="00F301E9" w:rsidRDefault="00F301E9" w:rsidP="00F301E9">
      <w:pPr>
        <w:spacing w:before="60" w:after="60" w:line="360" w:lineRule="auto"/>
        <w:jc w:val="both"/>
        <w:rPr>
          <w:rFonts w:ascii="Arial" w:eastAsia="Calibri" w:hAnsi="Arial" w:cs="Arial"/>
          <w:color w:val="000000"/>
          <w:lang w:val="es-ES"/>
        </w:rPr>
      </w:pPr>
      <w:r w:rsidRPr="00F301E9">
        <w:rPr>
          <w:rFonts w:ascii="GalanoGrotesque-Light" w:eastAsia="Calibri" w:hAnsi="GalanoGrotesque-Light" w:cs="Times New Roman"/>
          <w:noProof/>
          <w:sz w:val="24"/>
          <w:szCs w:val="24"/>
          <w:lang w:eastAsia="es-MX"/>
        </w:rPr>
        <w:lastRenderedPageBreak/>
        <w:drawing>
          <wp:inline distT="0" distB="0" distL="0" distR="0" wp14:anchorId="3F429B4F" wp14:editId="794CFD23">
            <wp:extent cx="6348034" cy="1296063"/>
            <wp:effectExtent l="0" t="0" r="0" b="0"/>
            <wp:docPr id="604720010" name="Imagen 60472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89418" cy="1304512"/>
                    </a:xfrm>
                    <a:prstGeom prst="rect">
                      <a:avLst/>
                    </a:prstGeom>
                    <a:noFill/>
                    <a:ln>
                      <a:noFill/>
                    </a:ln>
                  </pic:spPr>
                </pic:pic>
              </a:graphicData>
            </a:graphic>
          </wp:inline>
        </w:drawing>
      </w:r>
    </w:p>
    <w:p w:rsidR="00F301E9" w:rsidRPr="00F301E9" w:rsidRDefault="00F301E9" w:rsidP="00F301E9">
      <w:pPr>
        <w:spacing w:before="120" w:after="120" w:line="360" w:lineRule="auto"/>
        <w:jc w:val="both"/>
        <w:rPr>
          <w:rFonts w:ascii="GalanoGrotesque-Light" w:eastAsia="Calibri" w:hAnsi="GalanoGrotesque-Light" w:cs="Times New Roman"/>
          <w:lang w:val="es-ES"/>
        </w:rPr>
      </w:pPr>
    </w:p>
    <w:p w:rsidR="00F301E9" w:rsidRPr="00F301E9" w:rsidRDefault="00F301E9" w:rsidP="00F301E9">
      <w:pPr>
        <w:spacing w:before="120" w:after="12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A continuación, se explican aquellas cuentas del gasto que en lo individual representan el 10% o más del gasto total, siendo las más representativas las siguientes:</w:t>
      </w:r>
    </w:p>
    <w:p w:rsidR="00F301E9" w:rsidRPr="00F301E9" w:rsidRDefault="00F301E9" w:rsidP="00F301E9">
      <w:pPr>
        <w:spacing w:before="120" w:after="12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b/>
          <w:lang w:val="es-ES"/>
        </w:rPr>
        <w:t>Servicios Personales</w:t>
      </w:r>
      <w:r w:rsidRPr="00F301E9">
        <w:rPr>
          <w:rFonts w:ascii="GalanoGrotesque-Light" w:eastAsia="Calibri" w:hAnsi="GalanoGrotesque-Light" w:cs="Times New Roman"/>
          <w:lang w:val="es-ES"/>
        </w:rPr>
        <w:t xml:space="preserve">: Representa el 40% y agrupa las remuneraciones del </w:t>
      </w:r>
      <w:r w:rsidRPr="00F301E9">
        <w:rPr>
          <w:rFonts w:ascii="GalanoGrotesque-Light" w:eastAsia="Calibri" w:hAnsi="GalanoGrotesque-Light" w:cs="Times New Roman"/>
          <w:bCs/>
          <w:lang w:val="es-ES"/>
        </w:rPr>
        <w:t>personal</w:t>
      </w:r>
      <w:r w:rsidRPr="00F301E9">
        <w:rPr>
          <w:rFonts w:ascii="GalanoGrotesque-Light" w:eastAsia="Calibri" w:hAnsi="GalanoGrotesque-Light" w:cs="Times New Roman"/>
          <w:lang w:val="es-ES"/>
        </w:rPr>
        <w:t xml:space="preserve"> al servicio de los entes públicos, tales como: sueldos, salarios, honorarios asimilables al salario, prestaciones y gastos de seguridad social, obligaciones laborales y otras prestaciones derivadas de una relación laboral; pudiendo ser de carácter permanente o transitorio. </w:t>
      </w:r>
    </w:p>
    <w:p w:rsidR="00F301E9" w:rsidRPr="00F301E9" w:rsidRDefault="00F301E9" w:rsidP="00F301E9">
      <w:pPr>
        <w:spacing w:before="120" w:after="12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b/>
          <w:lang w:val="es-ES"/>
        </w:rPr>
        <w:t>Transferencias, Asignaciones, Subsidios y Otras Ayudas:</w:t>
      </w:r>
      <w:r w:rsidRPr="00F301E9">
        <w:rPr>
          <w:rFonts w:ascii="GalanoGrotesque-Light" w:eastAsia="Calibri" w:hAnsi="GalanoGrotesque-Light" w:cs="Times New Roman"/>
          <w:lang w:val="es-ES"/>
        </w:rPr>
        <w:t xml:space="preserve"> El 31% del gasto que se destinó, a los entes públicos contenidos en el Presupuesto de Egresos con el objeto de sufragar gastos inherentes a sus atribuciones.</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b/>
          <w:lang w:val="es-ES"/>
        </w:rPr>
        <w:t>Participaciones y Aportaciones</w:t>
      </w:r>
      <w:r w:rsidRPr="00F301E9">
        <w:rPr>
          <w:rFonts w:ascii="GalanoGrotesque-Light" w:eastAsia="Calibri" w:hAnsi="GalanoGrotesque-Light" w:cs="Times New Roman"/>
          <w:lang w:val="es-ES"/>
        </w:rPr>
        <w:t>: Las erogaciones con cargo a este apartado, representan el 18% del gasto total y se refiere a recursos que corresponden a los Estados y Municipios que se derivan del Sistema Nacional de Coordinación Fiscal, de conformidad a lo establecido por los capítulos I, II, III y IV de la Ley de Coordinación Fiscal, así como las que corresponden a sistemas estatales de coordinación fiscal determinados por las leyes correspondientes.</w:t>
      </w:r>
    </w:p>
    <w:p w:rsidR="00F301E9" w:rsidRPr="00F301E9" w:rsidRDefault="00F301E9" w:rsidP="00F301E9">
      <w:pPr>
        <w:spacing w:after="0" w:line="360" w:lineRule="auto"/>
        <w:rPr>
          <w:rFonts w:ascii="GalanoGrotesque-Light" w:eastAsia="Calibri" w:hAnsi="GalanoGrotesque-Light" w:cs="Times New Roman"/>
          <w:b/>
          <w:sz w:val="24"/>
          <w:szCs w:val="24"/>
          <w:lang w:val="es-ES"/>
        </w:rPr>
      </w:pPr>
    </w:p>
    <w:p w:rsidR="00F301E9" w:rsidRPr="00F301E9" w:rsidRDefault="00F301E9" w:rsidP="00F301E9">
      <w:pPr>
        <w:spacing w:after="0" w:line="360" w:lineRule="auto"/>
        <w:rPr>
          <w:rFonts w:ascii="GalanoGrotesque-Light" w:eastAsia="Calibri" w:hAnsi="GalanoGrotesque-Light" w:cs="Times New Roman"/>
          <w:b/>
          <w:sz w:val="24"/>
          <w:szCs w:val="24"/>
          <w:lang w:val="es-ES"/>
        </w:rPr>
      </w:pPr>
      <w:r w:rsidRPr="00F301E9">
        <w:rPr>
          <w:rFonts w:ascii="GalanoGrotesque-Light" w:eastAsia="Calibri" w:hAnsi="GalanoGrotesque-Light" w:cs="Times New Roman"/>
          <w:b/>
          <w:sz w:val="24"/>
          <w:szCs w:val="24"/>
          <w:lang w:val="es-ES"/>
        </w:rPr>
        <w:t>II). NOTAS AL ESTADO DE SITUACIÓN FINANCIERA</w:t>
      </w:r>
    </w:p>
    <w:p w:rsidR="00F301E9" w:rsidRPr="00F301E9" w:rsidRDefault="00F301E9" w:rsidP="00F301E9">
      <w:pPr>
        <w:spacing w:after="0" w:line="360" w:lineRule="auto"/>
        <w:rPr>
          <w:rFonts w:ascii="GalanoGrotesque-Light" w:eastAsia="Calibri" w:hAnsi="GalanoGrotesque-Light" w:cs="Times New Roman"/>
          <w:b/>
          <w:sz w:val="24"/>
          <w:szCs w:val="24"/>
          <w:lang w:val="es-ES"/>
        </w:rPr>
      </w:pPr>
    </w:p>
    <w:p w:rsidR="00F301E9" w:rsidRPr="00F301E9" w:rsidRDefault="00F301E9" w:rsidP="00F301E9">
      <w:pPr>
        <w:spacing w:after="0" w:line="360" w:lineRule="auto"/>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 xml:space="preserve">ACTIVO </w:t>
      </w:r>
    </w:p>
    <w:p w:rsidR="00F301E9" w:rsidRPr="00F301E9" w:rsidRDefault="00F301E9" w:rsidP="00F301E9">
      <w:pPr>
        <w:spacing w:after="0" w:line="360" w:lineRule="auto"/>
        <w:jc w:val="both"/>
        <w:rPr>
          <w:rFonts w:ascii="GalanoGrotesque-Light" w:eastAsia="Times New Roman" w:hAnsi="GalanoGrotesque-Light" w:cs="Times New Roman"/>
          <w:b/>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lastRenderedPageBreak/>
        <w:t>1.- EFECTIVO Y EQUIVALENTES</w:t>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 xml:space="preserve">El saldo de 2 mil 270 millones 777 mil 273 pesos, representa los recursos en efectivo y cuentas bancarias propiedad del Gobierno del Estado, así como en inversiones temporales recuperables, en donde se encuentran recursos pendientes de aplicar de convenios y fondos federales, que se harán de conformidad con las reglas de cada uno de ellos, y en el pago a Proveedores, Terceros Institucionales, Impuesto Sobre la Renta Retenido y Cuotas y Aportaciones Patronales. </w:t>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Su integración detallada es la siguiente:</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199826F2" wp14:editId="7D1AD5DF">
            <wp:extent cx="6348039" cy="889000"/>
            <wp:effectExtent l="0" t="0" r="0" b="6350"/>
            <wp:docPr id="604720011" name="Imagen 6047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8227" cy="890427"/>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Representa el 47% del activo circulante y dicho rubro está compuesto principalmente por las inversiones temporales y los fondos con aportaciones especificas siendo los segundos mencionados mayores a los primeros.</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En este sentido, se destacan las cuentas bancarias de fondos específicos por convenios o fondos federales, del ejercicio 2025, que cuentan con los saldos siguientes:</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lastRenderedPageBreak/>
        <w:drawing>
          <wp:inline distT="0" distB="0" distL="0" distR="0" wp14:anchorId="098BC28D" wp14:editId="51B35C7C">
            <wp:extent cx="6351270" cy="7561433"/>
            <wp:effectExtent l="0" t="0" r="0" b="1905"/>
            <wp:docPr id="604720014" name="Imagen 60472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1270" cy="7561433"/>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68EFE2E7" wp14:editId="55E09A4C">
            <wp:extent cx="6351270" cy="6768568"/>
            <wp:effectExtent l="0" t="0" r="0" b="0"/>
            <wp:docPr id="604720015" name="Imagen 60472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1270" cy="6768568"/>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lastRenderedPageBreak/>
        <w:t>De las Inversiones a corto plazo se revelan por su tipo y monto, destacando por su importancia las que se describen en el siguiente cuadro:</w:t>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248C4268" wp14:editId="33DC5FBB">
            <wp:extent cx="6351270" cy="55905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1270" cy="559058"/>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DERECHOS A RECIBIR EFECTIVO O EQUIVALENTES</w:t>
      </w:r>
    </w:p>
    <w:p w:rsidR="00F301E9" w:rsidRPr="00F301E9" w:rsidRDefault="00F301E9" w:rsidP="00F301E9">
      <w:pPr>
        <w:spacing w:after="0" w:line="360" w:lineRule="auto"/>
        <w:jc w:val="both"/>
        <w:rPr>
          <w:rFonts w:ascii="Arial" w:eastAsia="Times New Roman" w:hAnsi="Arial" w:cs="Arial"/>
          <w:b/>
          <w:bCs/>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b/>
          <w:bCs/>
          <w:color w:val="000000"/>
          <w:lang w:val="es-ES" w:eastAsia="es-MX"/>
        </w:rPr>
      </w:pPr>
      <w:r w:rsidRPr="00F301E9">
        <w:rPr>
          <w:rFonts w:ascii="GalanoGrotesque-Light" w:eastAsia="Times New Roman" w:hAnsi="GalanoGrotesque-Light" w:cs="Times New Roman"/>
          <w:b/>
          <w:bCs/>
          <w:color w:val="000000"/>
          <w:lang w:val="es-ES" w:eastAsia="es-MX"/>
        </w:rPr>
        <w:t>2. CUENTAS PENDIENTES DE COBRO</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El saldo del rubro al 31 de diciembre de 2025, por 2 mil 570 millones 778 mil 429 pesos, se encuentra integrado por diversas cuentas cuya característica es que son recuperables en el corto plazo originados en el desarrollo en las actividades de los Entes Públicos, por las cuales se espera recibir una contraprestación representada en recursos, bienes o servicio, es decir, que aun cuando no son efectivo, serán recuperables en el transcurso del año, a continuación, se muestra su integración:</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28515B82" wp14:editId="54304425">
            <wp:extent cx="6351270" cy="903636"/>
            <wp:effectExtent l="0" t="0" r="0" b="0"/>
            <wp:docPr id="604720019" name="Imagen 60472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1270" cy="903636"/>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5AB328F0" wp14:editId="263675CD">
            <wp:extent cx="6351270" cy="355000"/>
            <wp:effectExtent l="0" t="0" r="0" b="6985"/>
            <wp:docPr id="604720018" name="Imagen 60472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51270" cy="355000"/>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Times New Roman" w:hAnsi="GalanoGrotesque-Light" w:cs="Times New Roman"/>
          <w:b/>
          <w:bCs/>
          <w:color w:val="000000"/>
          <w:lang w:val="es-ES" w:eastAsia="es-MX"/>
        </w:rPr>
      </w:pPr>
    </w:p>
    <w:p w:rsidR="00F301E9" w:rsidRPr="00F301E9" w:rsidRDefault="00F301E9" w:rsidP="00F301E9">
      <w:pPr>
        <w:widowControl w:val="0"/>
        <w:kinsoku w:val="0"/>
        <w:spacing w:before="120" w:after="120" w:line="360" w:lineRule="auto"/>
        <w:ind w:left="426"/>
        <w:contextualSpacing/>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Cuentas por cobrar a corto plazo:</w:t>
      </w:r>
    </w:p>
    <w:p w:rsidR="00F301E9" w:rsidRPr="00F301E9" w:rsidRDefault="00F301E9" w:rsidP="00F301E9">
      <w:pPr>
        <w:widowControl w:val="0"/>
        <w:numPr>
          <w:ilvl w:val="0"/>
          <w:numId w:val="2"/>
        </w:numPr>
        <w:spacing w:before="120" w:after="120" w:line="360" w:lineRule="auto"/>
        <w:ind w:left="1418" w:hanging="425"/>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val="es-ES" w:eastAsia="es-MX"/>
        </w:rPr>
        <w:t>Estas cuentas reflejan el saldo de los ingresos federales devengados a favor del Estado conforme a lo establecido por la Ley General de Contabilidad Gubernamental, que al cierre del trimestre se encuentran en trámite de recaudación.</w:t>
      </w:r>
    </w:p>
    <w:p w:rsidR="00F301E9" w:rsidRPr="00F301E9" w:rsidRDefault="00F301E9" w:rsidP="00F301E9">
      <w:pPr>
        <w:widowControl w:val="0"/>
        <w:kinsoku w:val="0"/>
        <w:spacing w:after="0" w:line="360" w:lineRule="auto"/>
        <w:ind w:left="426"/>
        <w:contextualSpacing/>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 xml:space="preserve">Deudores Diversos por cobrar a corto plazo: </w:t>
      </w:r>
    </w:p>
    <w:p w:rsidR="00F301E9" w:rsidRPr="00F301E9" w:rsidRDefault="00F301E9" w:rsidP="00F301E9">
      <w:pPr>
        <w:widowControl w:val="0"/>
        <w:numPr>
          <w:ilvl w:val="0"/>
          <w:numId w:val="2"/>
        </w:numPr>
        <w:spacing w:before="60" w:after="0" w:line="360" w:lineRule="auto"/>
        <w:ind w:left="1495"/>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val="es-ES" w:eastAsia="es-MX"/>
        </w:rPr>
        <w:lastRenderedPageBreak/>
        <w:t xml:space="preserve">El saldo de este rubro, lo constituyen los préstamos que adeudan las distintas Unidades Programáticas Presupuestarias a cuenta de su presupuesto a través de documentos de pago provisionales y que no han regularizado, así mismo, se incluyen en este mismo rubro, los adeudos por descuentos que la Federación hace al Estado de sus participaciones Federales, por adeudos al Instituto Mexicano del Seguro Social y al </w:t>
      </w:r>
      <w:r w:rsidRPr="00F301E9">
        <w:rPr>
          <w:rFonts w:ascii="GalanoGrotesque-Light" w:eastAsia="Calibri" w:hAnsi="GalanoGrotesque-Light" w:cs="Times New Roman"/>
          <w:color w:val="000000"/>
          <w:lang w:val="es-ES"/>
        </w:rPr>
        <w:t>Instituto de Seguridad y Servicios Sociales de los Trabajadores del Estado,</w:t>
      </w:r>
      <w:r w:rsidRPr="00F301E9">
        <w:rPr>
          <w:rFonts w:ascii="GalanoGrotesque-Light" w:eastAsia="Times New Roman" w:hAnsi="GalanoGrotesque-Light" w:cs="Times New Roman"/>
          <w:lang w:val="es-ES" w:eastAsia="es-MX"/>
        </w:rPr>
        <w:t xml:space="preserve"> de las entidades y municipios, y que al 31 de diciembre de 2025 no regularizaron, además, de los adeudos de terceros comerciales por concepto de cheques cancelados de nóminas.</w:t>
      </w:r>
    </w:p>
    <w:p w:rsidR="00F301E9" w:rsidRPr="00F301E9" w:rsidRDefault="00F301E9" w:rsidP="00F301E9">
      <w:pPr>
        <w:widowControl w:val="0"/>
        <w:numPr>
          <w:ilvl w:val="0"/>
          <w:numId w:val="2"/>
        </w:numPr>
        <w:spacing w:before="60" w:after="0" w:line="360" w:lineRule="auto"/>
        <w:ind w:left="1418" w:hanging="425"/>
        <w:jc w:val="both"/>
        <w:rPr>
          <w:rFonts w:ascii="GalanoGrotesque-Light" w:eastAsia="Calibri" w:hAnsi="GalanoGrotesque-Light" w:cs="Times New Roman"/>
          <w:lang w:val="es-ES"/>
        </w:rPr>
      </w:pPr>
      <w:r w:rsidRPr="00F301E9">
        <w:rPr>
          <w:rFonts w:ascii="GalanoGrotesque-Light" w:eastAsia="Times New Roman" w:hAnsi="GalanoGrotesque-Light" w:cs="Times New Roman"/>
          <w:lang w:val="es-ES" w:eastAsia="es-MX"/>
        </w:rPr>
        <w:t>En esta cuenta, se reflejan también los saldos de los recursos transferidos del Ramo 33 y de acuerdo con la Ley de Coordinación Fiscal, se entregan a las dependencias, entidades y organismos, para los programas establecidos para ese ramo específico y cuya aplicación se encuentra pendiente de comprobar.</w:t>
      </w:r>
    </w:p>
    <w:p w:rsidR="00F301E9" w:rsidRPr="00F301E9" w:rsidRDefault="00F301E9" w:rsidP="00F301E9">
      <w:pPr>
        <w:widowControl w:val="0"/>
        <w:numPr>
          <w:ilvl w:val="0"/>
          <w:numId w:val="2"/>
        </w:numPr>
        <w:kinsoku w:val="0"/>
        <w:spacing w:before="60" w:after="0" w:line="360" w:lineRule="auto"/>
        <w:ind w:left="1418" w:hanging="425"/>
        <w:contextualSpacing/>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val="es-ES" w:eastAsia="es-MX"/>
        </w:rPr>
        <w:t>De igual manera, se registran en esta cuenta las responsabilidades pendientes de solventar por parte de los funcionarios de la Administración Pública Estatal, responsables de la recaudación y el manejo de fondos.</w:t>
      </w:r>
    </w:p>
    <w:p w:rsidR="00F301E9" w:rsidRPr="00F301E9" w:rsidRDefault="00F301E9" w:rsidP="00F301E9">
      <w:pPr>
        <w:widowControl w:val="0"/>
        <w:kinsoku w:val="0"/>
        <w:spacing w:before="120" w:after="120" w:line="360" w:lineRule="auto"/>
        <w:ind w:left="426"/>
        <w:contextualSpacing/>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Ingresos por recuperar a corto plazo:</w:t>
      </w:r>
    </w:p>
    <w:p w:rsidR="00F301E9" w:rsidRPr="00F301E9" w:rsidRDefault="00F301E9" w:rsidP="00F301E9">
      <w:pPr>
        <w:widowControl w:val="0"/>
        <w:numPr>
          <w:ilvl w:val="0"/>
          <w:numId w:val="2"/>
        </w:numPr>
        <w:spacing w:before="120" w:after="120" w:line="360" w:lineRule="auto"/>
        <w:ind w:left="1418" w:hanging="425"/>
        <w:jc w:val="both"/>
        <w:rPr>
          <w:rFonts w:ascii="GalanoGrotesque-Light" w:eastAsia="Times New Roman" w:hAnsi="GalanoGrotesque-Light" w:cs="Times New Roman"/>
          <w:lang w:val="es-ES" w:eastAsia="es-MX"/>
        </w:rPr>
      </w:pPr>
      <w:r w:rsidRPr="00F301E9">
        <w:rPr>
          <w:rFonts w:ascii="GalanoGrotesque-Light" w:eastAsia="Times New Roman" w:hAnsi="GalanoGrotesque-Light" w:cs="Times New Roman"/>
          <w:lang w:val="es-ES" w:eastAsia="es-MX"/>
        </w:rPr>
        <w:t>Esta cuenta, refleja el saldo de los ingresos estatales devengados a favor del Estado conforme a lo establecido por la Ley General de Contabilidad Gubernamental que, al cierre del período, se encuentran en trámite de recaudación.</w:t>
      </w:r>
    </w:p>
    <w:p w:rsidR="00F301E9" w:rsidRPr="00F301E9" w:rsidRDefault="00F301E9" w:rsidP="00F301E9">
      <w:pPr>
        <w:widowControl w:val="0"/>
        <w:kinsoku w:val="0"/>
        <w:spacing w:after="0" w:line="360" w:lineRule="auto"/>
        <w:ind w:left="426"/>
        <w:contextualSpacing/>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Deudores por anticipos de Tesorería a corto plazo:</w:t>
      </w:r>
    </w:p>
    <w:p w:rsidR="00F301E9" w:rsidRPr="00F301E9" w:rsidRDefault="00F301E9" w:rsidP="00F301E9">
      <w:pPr>
        <w:widowControl w:val="0"/>
        <w:numPr>
          <w:ilvl w:val="0"/>
          <w:numId w:val="2"/>
        </w:numPr>
        <w:kinsoku w:val="0"/>
        <w:spacing w:before="60" w:after="0" w:line="360" w:lineRule="auto"/>
        <w:contextualSpacing/>
        <w:jc w:val="both"/>
        <w:rPr>
          <w:rFonts w:ascii="GalanoGrotesque-Light" w:eastAsia="Times New Roman" w:hAnsi="GalanoGrotesque-Light" w:cs="Times New Roman"/>
          <w:lang w:eastAsia="es-MX"/>
        </w:rPr>
      </w:pPr>
      <w:r w:rsidRPr="00F301E9">
        <w:rPr>
          <w:rFonts w:ascii="GalanoGrotesque-Light" w:eastAsia="Times New Roman" w:hAnsi="GalanoGrotesque-Light" w:cs="Times New Roman"/>
          <w:lang w:eastAsia="es-MX"/>
        </w:rPr>
        <w:t xml:space="preserve">Corresponde a los fondos </w:t>
      </w:r>
      <w:proofErr w:type="spellStart"/>
      <w:r w:rsidRPr="00F301E9">
        <w:rPr>
          <w:rFonts w:ascii="GalanoGrotesque-Light" w:eastAsia="Times New Roman" w:hAnsi="GalanoGrotesque-Light" w:cs="Times New Roman"/>
          <w:lang w:eastAsia="es-MX"/>
        </w:rPr>
        <w:t>revolventes</w:t>
      </w:r>
      <w:proofErr w:type="spellEnd"/>
      <w:r w:rsidRPr="00F301E9">
        <w:rPr>
          <w:rFonts w:ascii="GalanoGrotesque-Light" w:eastAsia="Times New Roman" w:hAnsi="GalanoGrotesque-Light" w:cs="Times New Roman"/>
          <w:lang w:eastAsia="es-MX"/>
        </w:rPr>
        <w:t xml:space="preserve"> asignados a las dependencias para su operación.</w:t>
      </w:r>
    </w:p>
    <w:p w:rsidR="00F301E9" w:rsidRPr="00F301E9" w:rsidRDefault="00F301E9" w:rsidP="00F301E9">
      <w:pPr>
        <w:widowControl w:val="0"/>
        <w:kinsoku w:val="0"/>
        <w:spacing w:after="0" w:line="360" w:lineRule="auto"/>
        <w:ind w:left="426"/>
        <w:contextualSpacing/>
        <w:jc w:val="both"/>
        <w:rPr>
          <w:rFonts w:ascii="GalanoGrotesque-Light" w:eastAsia="Times New Roman" w:hAnsi="GalanoGrotesque-Light" w:cs="Times New Roman"/>
          <w:b/>
          <w:lang w:val="es-ES" w:eastAsia="es-MX"/>
        </w:rPr>
      </w:pPr>
      <w:r w:rsidRPr="00F301E9">
        <w:rPr>
          <w:rFonts w:ascii="GalanoGrotesque-Light" w:eastAsia="Times New Roman" w:hAnsi="GalanoGrotesque-Light" w:cs="Times New Roman"/>
          <w:b/>
          <w:lang w:val="es-ES" w:eastAsia="es-MX"/>
        </w:rPr>
        <w:t>Préstamos otorgados a corto plazo:</w:t>
      </w:r>
    </w:p>
    <w:p w:rsidR="00F301E9" w:rsidRPr="00F301E9" w:rsidRDefault="00F301E9" w:rsidP="00F301E9">
      <w:pPr>
        <w:widowControl w:val="0"/>
        <w:numPr>
          <w:ilvl w:val="0"/>
          <w:numId w:val="2"/>
        </w:numPr>
        <w:kinsoku w:val="0"/>
        <w:spacing w:before="60" w:after="0" w:line="360" w:lineRule="auto"/>
        <w:contextualSpacing/>
        <w:jc w:val="both"/>
        <w:rPr>
          <w:rFonts w:ascii="GalanoGrotesque-Light" w:eastAsia="Times New Roman" w:hAnsi="GalanoGrotesque-Light" w:cs="Times New Roman"/>
          <w:lang w:eastAsia="es-MX"/>
        </w:rPr>
      </w:pPr>
      <w:r w:rsidRPr="00F301E9">
        <w:rPr>
          <w:rFonts w:ascii="GalanoGrotesque-Light" w:eastAsia="Times New Roman" w:hAnsi="GalanoGrotesque-Light" w:cs="Times New Roman"/>
          <w:lang w:eastAsia="es-MX"/>
        </w:rPr>
        <w:t xml:space="preserve">Esta cuenta, representa los préstamos realizados a las </w:t>
      </w:r>
      <w:r w:rsidRPr="00F301E9">
        <w:rPr>
          <w:rFonts w:ascii="GalanoGrotesque-Light" w:eastAsia="Times New Roman" w:hAnsi="GalanoGrotesque-Light" w:cs="Times New Roman"/>
          <w:lang w:eastAsia="es-MX"/>
        </w:rPr>
        <w:lastRenderedPageBreak/>
        <w:t>dependencias del Gobierno del Estado y a los Municipios con problemas económicos, con cargo a sus participaciones federales.</w:t>
      </w:r>
    </w:p>
    <w:p w:rsidR="00F301E9" w:rsidRPr="00F301E9" w:rsidRDefault="00F301E9" w:rsidP="00F301E9">
      <w:pPr>
        <w:widowControl w:val="0"/>
        <w:kinsoku w:val="0"/>
        <w:spacing w:after="0" w:line="360" w:lineRule="auto"/>
        <w:ind w:left="426"/>
        <w:contextualSpacing/>
        <w:jc w:val="both"/>
        <w:rPr>
          <w:rFonts w:ascii="GalanoGrotesque-Light" w:eastAsia="Times New Roman" w:hAnsi="GalanoGrotesque-Light" w:cs="Times New Roman"/>
          <w:b/>
          <w:lang w:val="es-ES" w:eastAsia="es-MX"/>
        </w:rPr>
      </w:pPr>
      <w:r w:rsidRPr="00F301E9">
        <w:rPr>
          <w:rFonts w:ascii="GalanoGrotesque-Light" w:eastAsia="Times New Roman" w:hAnsi="GalanoGrotesque-Light" w:cs="Times New Roman"/>
          <w:b/>
          <w:lang w:val="es-ES" w:eastAsia="es-MX"/>
        </w:rPr>
        <w:t>Otros derechos a recibir efectivo o equivalentes a corto plazo:</w:t>
      </w:r>
    </w:p>
    <w:p w:rsidR="00F301E9" w:rsidRPr="00F301E9" w:rsidRDefault="00F301E9" w:rsidP="00F301E9">
      <w:pPr>
        <w:widowControl w:val="0"/>
        <w:numPr>
          <w:ilvl w:val="0"/>
          <w:numId w:val="2"/>
        </w:numPr>
        <w:kinsoku w:val="0"/>
        <w:spacing w:before="60" w:after="0" w:line="360" w:lineRule="auto"/>
        <w:contextualSpacing/>
        <w:jc w:val="both"/>
        <w:rPr>
          <w:rFonts w:ascii="GalanoGrotesque-Light" w:eastAsia="Times New Roman" w:hAnsi="GalanoGrotesque-Light" w:cs="Times New Roman"/>
          <w:lang w:eastAsia="es-MX"/>
        </w:rPr>
      </w:pPr>
      <w:r w:rsidRPr="00F301E9">
        <w:rPr>
          <w:rFonts w:ascii="GalanoGrotesque-Light" w:eastAsia="Times New Roman" w:hAnsi="GalanoGrotesque-Light" w:cs="Times New Roman"/>
          <w:lang w:eastAsia="es-MX"/>
        </w:rPr>
        <w:t>Son los descuentos que la Federación ha realizado al Estado por conceptos de adeudos que los Municipios tienen con ella y que al vencimiento no fueron liquidados, así como de los pagos que el Estado realiza por cuenta de éstos por créditos avalados por las instituciones financieras.</w:t>
      </w:r>
    </w:p>
    <w:p w:rsidR="00F301E9" w:rsidRPr="00F301E9" w:rsidRDefault="00F301E9" w:rsidP="00F301E9">
      <w:pPr>
        <w:spacing w:after="0" w:line="360" w:lineRule="auto"/>
        <w:jc w:val="both"/>
        <w:rPr>
          <w:rFonts w:ascii="GalanoGrotesque-Light" w:eastAsia="Times New Roman" w:hAnsi="GalanoGrotesque-Light" w:cs="Times New Roman"/>
          <w:b/>
          <w:bCs/>
          <w:color w:val="000000"/>
          <w:lang w:val="es-ES" w:eastAsia="es-MX"/>
        </w:rPr>
      </w:pPr>
      <w:r w:rsidRPr="00F301E9">
        <w:rPr>
          <w:rFonts w:ascii="GalanoGrotesque-Light" w:eastAsia="Times New Roman" w:hAnsi="GalanoGrotesque-Light" w:cs="Times New Roman"/>
          <w:b/>
          <w:bCs/>
          <w:color w:val="000000"/>
          <w:lang w:val="es-ES" w:eastAsia="es-MX"/>
        </w:rPr>
        <w:t>3. POR TIPO DE CONTRIBUCIÓN</w:t>
      </w:r>
    </w:p>
    <w:p w:rsidR="00F301E9" w:rsidRPr="00F301E9" w:rsidRDefault="00F301E9" w:rsidP="00F301E9">
      <w:pPr>
        <w:spacing w:after="0" w:line="360" w:lineRule="auto"/>
        <w:jc w:val="both"/>
        <w:rPr>
          <w:rFonts w:ascii="GalanoGrotesque-Light" w:eastAsia="Times New Roman" w:hAnsi="GalanoGrotesque-Light" w:cs="Times New Roman"/>
          <w:b/>
          <w:bCs/>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El rubro de cuentas por cobrar se encuentra en proceso de depuración, sin embargo, se destacan los montos, hasta cinco años, de los procesos judiciales de cobro y por responsabilidades administrativas.</w:t>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center"/>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1252018F" wp14:editId="6F127462">
            <wp:extent cx="2505075" cy="129540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05075" cy="1295400"/>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before="60" w:after="6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INVENTARIOS.</w:t>
      </w:r>
    </w:p>
    <w:p w:rsidR="00F301E9" w:rsidRPr="00F301E9" w:rsidRDefault="00F301E9" w:rsidP="00F301E9">
      <w:pPr>
        <w:spacing w:before="60" w:after="60" w:line="360" w:lineRule="auto"/>
        <w:jc w:val="both"/>
        <w:rPr>
          <w:rFonts w:ascii="GalanoGrotesque-Light" w:eastAsia="Calibri" w:hAnsi="GalanoGrotesque-Light" w:cs="Times New Roman"/>
          <w:b/>
          <w:bCs/>
          <w:lang w:val="es-ES"/>
        </w:rPr>
      </w:pPr>
    </w:p>
    <w:p w:rsidR="00F301E9" w:rsidRPr="00F301E9" w:rsidRDefault="00F301E9" w:rsidP="00F301E9">
      <w:pPr>
        <w:spacing w:before="60" w:after="6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BIENES DISPONIBLES PARA SU TRANSFORMACIÓN O CONSUMO</w:t>
      </w:r>
    </w:p>
    <w:p w:rsidR="00F301E9" w:rsidRPr="00F301E9" w:rsidRDefault="00F301E9" w:rsidP="00F301E9">
      <w:pPr>
        <w:spacing w:before="60" w:after="60" w:line="360" w:lineRule="auto"/>
        <w:jc w:val="both"/>
        <w:rPr>
          <w:rFonts w:ascii="GalanoGrotesque-Light" w:eastAsia="Calibri" w:hAnsi="GalanoGrotesque-Light" w:cs="Times New Roman"/>
          <w:b/>
          <w:bCs/>
          <w:lang w:val="es-ES"/>
        </w:rPr>
      </w:pPr>
    </w:p>
    <w:p w:rsidR="00F301E9" w:rsidRPr="00F301E9" w:rsidRDefault="00F301E9" w:rsidP="00F301E9">
      <w:pPr>
        <w:spacing w:before="60" w:after="6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4.- BIENES DISPONIBLES PARA SU TRANSFORMACIÓN</w:t>
      </w:r>
    </w:p>
    <w:p w:rsidR="00F301E9" w:rsidRPr="00F301E9" w:rsidRDefault="00F301E9" w:rsidP="00F301E9">
      <w:pPr>
        <w:spacing w:before="60" w:after="6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Esta nota no aplica, en vista de que el Gobierno del Estado de Michoacán no transforma bienes.</w:t>
      </w:r>
    </w:p>
    <w:p w:rsidR="00F301E9" w:rsidRPr="00F301E9" w:rsidRDefault="00F301E9" w:rsidP="00F301E9">
      <w:pPr>
        <w:spacing w:before="60" w:after="60" w:line="360" w:lineRule="auto"/>
        <w:jc w:val="both"/>
        <w:rPr>
          <w:rFonts w:ascii="GalanoGrotesque-Light" w:eastAsia="Calibri" w:hAnsi="GalanoGrotesque-Light" w:cs="Times New Roman"/>
          <w:lang w:val="es-ES"/>
        </w:rPr>
      </w:pPr>
    </w:p>
    <w:p w:rsidR="00F301E9" w:rsidRPr="00F301E9" w:rsidRDefault="00F301E9" w:rsidP="00F301E9">
      <w:pPr>
        <w:spacing w:before="60" w:after="6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5.- ALMACÉN</w:t>
      </w:r>
    </w:p>
    <w:p w:rsidR="00F301E9" w:rsidRPr="00F301E9" w:rsidRDefault="00F301E9" w:rsidP="00F301E9">
      <w:pPr>
        <w:spacing w:before="60" w:after="6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El saldo por 486 mil 820 pesos, de la cuenta de almacenes corresponde a las existencias de materiales y útiles de oficina, materiales para el procesamiento de equipos informáticos, material eléctrico y electrónico, así como de herramientas menores.</w:t>
      </w:r>
    </w:p>
    <w:p w:rsidR="00F301E9" w:rsidRPr="00F301E9" w:rsidRDefault="00F301E9" w:rsidP="00F301E9">
      <w:pPr>
        <w:spacing w:before="60" w:after="60" w:line="360" w:lineRule="auto"/>
        <w:jc w:val="both"/>
        <w:rPr>
          <w:rFonts w:ascii="GalanoGrotesque-Light" w:eastAsia="Calibri" w:hAnsi="GalanoGrotesque-Light" w:cs="Times New Roman"/>
          <w:lang w:val="es-ES"/>
        </w:rPr>
      </w:pPr>
    </w:p>
    <w:p w:rsidR="00F301E9" w:rsidRPr="00F301E9" w:rsidRDefault="00F301E9" w:rsidP="00F301E9">
      <w:pPr>
        <w:spacing w:before="60" w:after="6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noProof/>
          <w:sz w:val="24"/>
          <w:szCs w:val="24"/>
          <w:lang w:eastAsia="es-MX"/>
        </w:rPr>
        <w:drawing>
          <wp:inline distT="0" distB="0" distL="0" distR="0" wp14:anchorId="3207BE9A" wp14:editId="6E27DC1B">
            <wp:extent cx="6286500" cy="714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7063" cy="714439"/>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Times New Roman" w:hAnsi="GalanoGrotesque-Light" w:cs="Times New Roman"/>
          <w:b/>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b/>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b/>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ACTIVO NO CIRCULANTE</w:t>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El saldo al 31 de diciembre de 2025 del activo no circulante asciende a la cantidad de 105 mil 126 millones 579 mil 83 pesos y se integran de la siguiente manera:</w:t>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0A33E090" wp14:editId="033AA565">
            <wp:extent cx="6351270" cy="1015515"/>
            <wp:effectExtent l="0" t="0" r="0" b="0"/>
            <wp:docPr id="604720021" name="Imagen 60472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51270" cy="1015515"/>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b/>
          <w:bCs/>
          <w:color w:val="000000"/>
          <w:lang w:val="es-ES" w:eastAsia="es-MX"/>
        </w:rPr>
      </w:pPr>
      <w:r w:rsidRPr="00F301E9">
        <w:rPr>
          <w:rFonts w:ascii="GalanoGrotesque-Light" w:eastAsia="Times New Roman" w:hAnsi="GalanoGrotesque-Light" w:cs="Times New Roman"/>
          <w:b/>
          <w:bCs/>
          <w:color w:val="000000"/>
          <w:lang w:val="es-ES" w:eastAsia="es-MX"/>
        </w:rPr>
        <w:t>INVERSIONES FINANCIERAS</w:t>
      </w:r>
    </w:p>
    <w:p w:rsidR="00F301E9" w:rsidRPr="00F301E9" w:rsidRDefault="00F301E9" w:rsidP="00F301E9">
      <w:pPr>
        <w:spacing w:after="0" w:line="360" w:lineRule="auto"/>
        <w:jc w:val="both"/>
        <w:rPr>
          <w:rFonts w:ascii="GalanoGrotesque-Light" w:eastAsia="Times New Roman" w:hAnsi="GalanoGrotesque-Light" w:cs="Times New Roman"/>
          <w:b/>
          <w:bCs/>
          <w:color w:val="000000"/>
          <w:lang w:val="es-ES" w:eastAsia="es-MX"/>
        </w:rPr>
      </w:pPr>
      <w:r w:rsidRPr="00F301E9">
        <w:rPr>
          <w:rFonts w:ascii="GalanoGrotesque-Light" w:eastAsia="Times New Roman" w:hAnsi="GalanoGrotesque-Light" w:cs="Times New Roman"/>
          <w:b/>
          <w:bCs/>
          <w:color w:val="000000"/>
          <w:lang w:val="es-ES" w:eastAsia="es-MX"/>
        </w:rPr>
        <w:t>6. INVERSIONES FINANCIERAS, FIDEICOMISOS, MANDATOS Y ANÁLOGOS</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De dichos montos, las inversiones Financieras a largo plazo se integran por 33 mil 839 millones 286 mil 720 pesos que se muestran como sigue:</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7BE7C631" wp14:editId="05AB2FFB">
            <wp:extent cx="6351270" cy="464727"/>
            <wp:effectExtent l="0" t="0" r="0" b="0"/>
            <wp:docPr id="604720022" name="Imagen 60472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1270" cy="464727"/>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both"/>
        <w:rPr>
          <w:rFonts w:ascii="GalanoGrotesque-Light" w:eastAsia="Calibri" w:hAnsi="GalanoGrotesque-Light" w:cs="Times New Roman"/>
          <w:noProof/>
          <w:sz w:val="24"/>
          <w:szCs w:val="24"/>
          <w:lang w:val="es-ES" w:eastAsia="es-MX"/>
        </w:rPr>
      </w:pPr>
      <w:r w:rsidRPr="00F301E9">
        <w:rPr>
          <w:rFonts w:ascii="GalanoGrotesque-Light" w:eastAsia="Times New Roman" w:hAnsi="GalanoGrotesque-Light" w:cs="Times New Roman"/>
          <w:color w:val="000000"/>
          <w:lang w:val="es-ES" w:eastAsia="es-MX"/>
        </w:rPr>
        <w:t>De la cuenta de Fideicomisos, mandatos y análogos, por 12 mil 484 millones 385 mil 969 pesos, de los cuales 1</w:t>
      </w:r>
      <w:r w:rsidRPr="00F301E9">
        <w:rPr>
          <w:rFonts w:ascii="GalanoGrotesque-Light" w:eastAsia="Calibri" w:hAnsi="GalanoGrotesque-Light" w:cs="Times New Roman"/>
          <w:noProof/>
          <w:sz w:val="24"/>
          <w:szCs w:val="24"/>
          <w:lang w:val="es-ES" w:eastAsia="es-MX"/>
        </w:rPr>
        <w:t xml:space="preserve">1 mil 774 millones 402 </w:t>
      </w:r>
      <w:r w:rsidRPr="00F301E9">
        <w:rPr>
          <w:rFonts w:ascii="GalanoGrotesque-Light" w:eastAsia="Calibri" w:hAnsi="GalanoGrotesque-Light" w:cs="Times New Roman"/>
          <w:noProof/>
          <w:sz w:val="24"/>
          <w:szCs w:val="24"/>
          <w:lang w:val="es-ES" w:eastAsia="es-MX"/>
        </w:rPr>
        <w:lastRenderedPageBreak/>
        <w:t xml:space="preserve">mil 959 pesos corresponden a fideicomisos no financieros destinados a objetivos específicos y </w:t>
      </w:r>
      <w:r w:rsidRPr="00F301E9">
        <w:rPr>
          <w:rFonts w:ascii="GalanoGrotesque-Light" w:eastAsia="Times New Roman" w:hAnsi="GalanoGrotesque-Light" w:cs="Times New Roman"/>
          <w:color w:val="000000"/>
          <w:lang w:val="es-ES" w:eastAsia="es-MX"/>
        </w:rPr>
        <w:t>709 millones 983 mil 10 pesos corresponde a fideicomisos financieros destinados a garantizar el pago de la deuda pública</w:t>
      </w:r>
      <w:r w:rsidRPr="00F301E9">
        <w:rPr>
          <w:rFonts w:ascii="GalanoGrotesque-Light" w:eastAsia="Calibri" w:hAnsi="GalanoGrotesque-Light" w:cs="Times New Roman"/>
          <w:noProof/>
          <w:sz w:val="24"/>
          <w:szCs w:val="24"/>
          <w:lang w:val="es-ES" w:eastAsia="es-MX"/>
        </w:rPr>
        <w:t>, como se detallan en el cuadro siguiente:</w:t>
      </w:r>
    </w:p>
    <w:p w:rsidR="00F301E9" w:rsidRPr="00F301E9" w:rsidRDefault="00F301E9" w:rsidP="00F301E9">
      <w:pPr>
        <w:spacing w:after="0" w:line="360" w:lineRule="auto"/>
        <w:jc w:val="both"/>
        <w:rPr>
          <w:rFonts w:ascii="GalanoGrotesque-Light" w:eastAsia="Calibri" w:hAnsi="GalanoGrotesque-Light" w:cs="Times New Roman"/>
          <w:noProof/>
          <w:sz w:val="24"/>
          <w:szCs w:val="24"/>
          <w:lang w:val="es-ES" w:eastAsia="es-MX"/>
        </w:rPr>
      </w:pPr>
    </w:p>
    <w:p w:rsidR="00F301E9" w:rsidRPr="00F301E9" w:rsidRDefault="00F301E9" w:rsidP="00F301E9">
      <w:pPr>
        <w:spacing w:after="0" w:line="360" w:lineRule="auto"/>
        <w:jc w:val="both"/>
        <w:rPr>
          <w:rFonts w:ascii="GalanoGrotesque-Light" w:eastAsia="Calibri" w:hAnsi="GalanoGrotesque-Light" w:cs="Times New Roman"/>
          <w:noProof/>
          <w:sz w:val="24"/>
          <w:szCs w:val="24"/>
          <w:lang w:val="es-ES" w:eastAsia="es-MX"/>
        </w:rPr>
      </w:pPr>
      <w:r w:rsidRPr="00F301E9">
        <w:rPr>
          <w:rFonts w:ascii="GalanoGrotesque-Light" w:eastAsia="Calibri" w:hAnsi="GalanoGrotesque-Light" w:cs="Times New Roman"/>
          <w:noProof/>
          <w:sz w:val="24"/>
          <w:szCs w:val="24"/>
          <w:lang w:eastAsia="es-MX"/>
        </w:rPr>
        <w:drawing>
          <wp:inline distT="0" distB="0" distL="0" distR="0" wp14:anchorId="135C6310" wp14:editId="5A511D1A">
            <wp:extent cx="5229225" cy="428625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29225" cy="4286250"/>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noProof/>
          <w:sz w:val="24"/>
          <w:szCs w:val="24"/>
          <w:lang w:val="es-ES" w:eastAsia="es-MX"/>
        </w:rPr>
      </w:pPr>
      <w:r w:rsidRPr="00F301E9">
        <w:rPr>
          <w:rFonts w:ascii="GalanoGrotesque-Light" w:eastAsia="Calibri" w:hAnsi="GalanoGrotesque-Light" w:cs="Times New Roman"/>
          <w:noProof/>
          <w:sz w:val="24"/>
          <w:szCs w:val="24"/>
          <w:lang w:eastAsia="es-MX"/>
        </w:rPr>
        <w:drawing>
          <wp:inline distT="0" distB="0" distL="0" distR="0" wp14:anchorId="74D64270" wp14:editId="5ABFB447">
            <wp:extent cx="5229225" cy="100965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29225" cy="1009650"/>
                    </a:xfrm>
                    <a:prstGeom prst="rect">
                      <a:avLst/>
                    </a:prstGeom>
                    <a:noFill/>
                    <a:ln>
                      <a:noFill/>
                    </a:ln>
                  </pic:spPr>
                </pic:pic>
              </a:graphicData>
            </a:graphic>
          </wp:inline>
        </w:drawing>
      </w:r>
    </w:p>
    <w:p w:rsidR="00F301E9" w:rsidRPr="00F301E9" w:rsidRDefault="00F301E9" w:rsidP="00F301E9">
      <w:pPr>
        <w:spacing w:before="120" w:after="12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7. SALDOS DE LAS PARTICIPACIONES Y APORTACIONES DE CAPITAL</w:t>
      </w:r>
    </w:p>
    <w:p w:rsidR="00F301E9" w:rsidRPr="00F301E9" w:rsidRDefault="00F301E9" w:rsidP="00F301E9">
      <w:pPr>
        <w:spacing w:before="120" w:after="12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Se informa la integración del saldo al 31 de diciembre de 2025 de la cuenta de Participaciones y Aportaciones de Capital, por 21 mil 354 millones 900 mil 752 pesos.</w:t>
      </w:r>
    </w:p>
    <w:p w:rsidR="00F301E9" w:rsidRPr="00F301E9" w:rsidRDefault="00F301E9" w:rsidP="00F301E9">
      <w:pPr>
        <w:spacing w:before="120" w:after="120" w:line="360" w:lineRule="auto"/>
        <w:jc w:val="both"/>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lastRenderedPageBreak/>
        <w:t>El respaldo correspondiente a dicho saldo consiste en las cifras de los Estados Financieros que las Entidades Paraestatales presentan a esta Secretaría de Finanzas y está actualizado de conformidad con la oportunidad en que estas los presentan.</w:t>
      </w:r>
    </w:p>
    <w:p w:rsidR="00F301E9" w:rsidRPr="00F301E9" w:rsidRDefault="00F301E9" w:rsidP="00F301E9">
      <w:pPr>
        <w:spacing w:before="120" w:after="120" w:line="360" w:lineRule="auto"/>
        <w:jc w:val="both"/>
        <w:rPr>
          <w:rFonts w:ascii="GalanoGrotesque-Light" w:eastAsia="Times New Roman" w:hAnsi="GalanoGrotesque-Light" w:cs="Times New Roman"/>
          <w:bCs/>
          <w:color w:val="000000"/>
          <w:lang w:val="es-ES" w:eastAsia="es-MX"/>
        </w:rPr>
      </w:pPr>
    </w:p>
    <w:p w:rsidR="00F301E9" w:rsidRPr="00F301E9" w:rsidRDefault="00F301E9" w:rsidP="00F301E9">
      <w:pPr>
        <w:spacing w:after="0" w:line="360" w:lineRule="auto"/>
        <w:jc w:val="both"/>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 xml:space="preserve">Las aportaciones en las entidades paraestatales se integran como sigue: </w:t>
      </w:r>
    </w:p>
    <w:p w:rsidR="00F301E9" w:rsidRPr="00F301E9" w:rsidRDefault="00F301E9" w:rsidP="00F301E9">
      <w:pPr>
        <w:spacing w:after="0" w:line="360" w:lineRule="auto"/>
        <w:jc w:val="center"/>
        <w:rPr>
          <w:rFonts w:ascii="GalanoGrotesque-Light" w:eastAsia="Times New Roman" w:hAnsi="GalanoGrotesque-Light" w:cs="Times New Roman"/>
          <w:bCs/>
          <w:color w:val="000000"/>
          <w:lang w:val="es-ES" w:eastAsia="es-MX"/>
        </w:rPr>
      </w:pPr>
      <w:r w:rsidRPr="00F301E9">
        <w:rPr>
          <w:rFonts w:ascii="GalanoGrotesque-Light" w:eastAsia="Calibri" w:hAnsi="GalanoGrotesque-Light" w:cs="Times New Roman"/>
          <w:noProof/>
          <w:sz w:val="24"/>
          <w:szCs w:val="24"/>
          <w:lang w:eastAsia="es-MX"/>
        </w:rPr>
        <w:lastRenderedPageBreak/>
        <w:drawing>
          <wp:inline distT="0" distB="0" distL="0" distR="0" wp14:anchorId="0773EFB9" wp14:editId="05C03D37">
            <wp:extent cx="4123264" cy="8267700"/>
            <wp:effectExtent l="0" t="0" r="0" b="0"/>
            <wp:docPr id="604720024" name="Imagen 60472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39218" cy="8299690"/>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lastRenderedPageBreak/>
        <w:t>BIENES MUEBLES, INMUEBLES E INTANGIBLES.</w:t>
      </w:r>
    </w:p>
    <w:p w:rsidR="00F301E9" w:rsidRPr="00F301E9" w:rsidRDefault="00F301E9" w:rsidP="00F301E9">
      <w:pPr>
        <w:spacing w:after="0" w:line="360" w:lineRule="auto"/>
        <w:jc w:val="both"/>
        <w:rPr>
          <w:rFonts w:ascii="Arial" w:eastAsia="Times New Roman" w:hAnsi="Arial" w:cs="Arial"/>
          <w:b/>
          <w:bCs/>
          <w:color w:val="000000"/>
          <w:lang w:val="es-ES" w:eastAsia="es-MX"/>
        </w:rPr>
      </w:pPr>
      <w:r w:rsidRPr="00F301E9">
        <w:rPr>
          <w:rFonts w:ascii="GalanoGrotesque-Light" w:eastAsia="Calibri" w:hAnsi="GalanoGrotesque-Light" w:cs="Times New Roman"/>
          <w:b/>
          <w:lang w:val="es-ES"/>
        </w:rPr>
        <w:t>8.- BIENES MUEBLES E INMUEBLES.</w:t>
      </w:r>
      <w:r w:rsidRPr="00F301E9">
        <w:rPr>
          <w:rFonts w:ascii="Arial" w:eastAsia="Calibri" w:hAnsi="Arial" w:cs="Arial"/>
          <w:b/>
          <w:color w:val="000000"/>
          <w:lang w:val="es-ES"/>
        </w:rPr>
        <w:t xml:space="preserve"> </w:t>
      </w:r>
      <w:r w:rsidRPr="00F301E9">
        <w:rPr>
          <w:rFonts w:ascii="Arial" w:eastAsia="Times New Roman" w:hAnsi="Arial" w:cs="Arial"/>
          <w:b/>
          <w:bCs/>
          <w:color w:val="000000"/>
          <w:lang w:val="es-ES" w:eastAsia="es-MX"/>
        </w:rPr>
        <w:t xml:space="preserve">  </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De conformidad con lo dispuesto en el acuerdo donde se establecen las “Reglas de Registro y Valuación del Patrimonio”, publicado en el Diario Oficial de la Federación del 11 de diciembre de 2023 y los “Lineamientos dirigidos a asegurar que el Sistema de Contabilidad Gubernamental facilite el Registro y Control de los Inventarios de Bienes Muebles e Inmuebles de los Entes Públicos” publicado en el Diario Oficial de la Federación del 13 de diciembre de 2011. </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b/>
          <w:color w:val="000000"/>
          <w:lang w:val="es-ES"/>
        </w:rPr>
      </w:pPr>
      <w:r w:rsidRPr="00F301E9">
        <w:rPr>
          <w:rFonts w:ascii="GalanoGrotesque-Light" w:eastAsia="Calibri" w:hAnsi="GalanoGrotesque-Light" w:cs="Times New Roman"/>
          <w:b/>
          <w:color w:val="000000"/>
          <w:lang w:val="es-ES"/>
        </w:rPr>
        <w:t>BIENES INMUEBLES</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Las cifras que se presentan ascienden a un importe de 68 mil 21 millones 430 mil 340 pesos.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noProof/>
          <w:sz w:val="24"/>
          <w:szCs w:val="24"/>
          <w:lang w:eastAsia="es-MX"/>
        </w:rPr>
        <w:drawing>
          <wp:inline distT="0" distB="0" distL="0" distR="0" wp14:anchorId="3AF91284" wp14:editId="004819E3">
            <wp:extent cx="6351270" cy="1015515"/>
            <wp:effectExtent l="0" t="0" r="0" b="0"/>
            <wp:docPr id="604720025" name="Imagen 60472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51270" cy="1015515"/>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b/>
          <w:color w:val="000000"/>
          <w:lang w:val="es-ES"/>
        </w:rPr>
      </w:pPr>
      <w:r w:rsidRPr="00F301E9">
        <w:rPr>
          <w:rFonts w:ascii="GalanoGrotesque-Light" w:eastAsia="Calibri" w:hAnsi="GalanoGrotesque-Light" w:cs="Times New Roman"/>
          <w:b/>
          <w:color w:val="000000"/>
          <w:lang w:val="es-ES"/>
        </w:rPr>
        <w:t>BIENES MUEBLES</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 xml:space="preserve">Es la incorporación al patrimonio de la Entidad de los bienes muebles, ya sea por adquisiciones o cualquier otro medio de adjudicación y sus efectos, por la desincorporación del patrimonio del Estado de dichos bienes a su valor original, ya sea por su venta o cuando por el deterioro de los mismos no sea posible seguirlos utilizando; se consideran en este rubro: muebles, mobiliario y equipo de oficina, los vehículos, maquinaria, equipo de cómputo, etcétera. </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De manera paralela, se continuó con el registro de los bienes adquiridos durante este ejercicio, tomando como base su documentación comprobatoria y el precio de adquisición.</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 xml:space="preserve">Estos registros, se realizan de manera simultánea a la afectación presupuestal, en este rubro se llevaron a cabo las depreciaciones </w:t>
      </w:r>
      <w:r w:rsidRPr="00F301E9">
        <w:rPr>
          <w:rFonts w:ascii="GalanoGrotesque-Light" w:eastAsia="Calibri" w:hAnsi="GalanoGrotesque-Light" w:cs="Times New Roman"/>
          <w:color w:val="000000"/>
          <w:lang w:val="es-ES"/>
        </w:rPr>
        <w:lastRenderedPageBreak/>
        <w:t>correspondientes, siguiendo la Guía de Vida Útil Estimada y Porcentaje de Depreciación.</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ind w:firstLine="284"/>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A continuación, se detalla la integración de este rubro:</w:t>
      </w:r>
    </w:p>
    <w:p w:rsidR="00F301E9" w:rsidRPr="00F301E9" w:rsidRDefault="00F301E9" w:rsidP="00F301E9">
      <w:pPr>
        <w:spacing w:after="0" w:line="360" w:lineRule="auto"/>
        <w:ind w:firstLine="284"/>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ind w:firstLine="284"/>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noProof/>
          <w:sz w:val="24"/>
          <w:szCs w:val="24"/>
          <w:lang w:eastAsia="es-MX"/>
        </w:rPr>
        <w:drawing>
          <wp:inline distT="0" distB="0" distL="0" distR="0" wp14:anchorId="6915DB53" wp14:editId="068BF266">
            <wp:extent cx="6351270" cy="1123090"/>
            <wp:effectExtent l="0" t="0" r="0" b="1270"/>
            <wp:docPr id="604720026" name="Imagen 60472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51270" cy="1123090"/>
                    </a:xfrm>
                    <a:prstGeom prst="rect">
                      <a:avLst/>
                    </a:prstGeom>
                    <a:noFill/>
                    <a:ln>
                      <a:noFill/>
                    </a:ln>
                  </pic:spPr>
                </pic:pic>
              </a:graphicData>
            </a:graphic>
          </wp:inline>
        </w:drawing>
      </w:r>
    </w:p>
    <w:p w:rsidR="00F301E9" w:rsidRPr="00F301E9" w:rsidRDefault="00F301E9" w:rsidP="00F301E9">
      <w:pPr>
        <w:spacing w:after="0" w:line="360" w:lineRule="auto"/>
        <w:ind w:firstLine="284"/>
        <w:jc w:val="both"/>
        <w:rPr>
          <w:rFonts w:ascii="GalanoGrotesque-Light" w:eastAsia="Calibri" w:hAnsi="GalanoGrotesque-Light" w:cs="Times New Roman"/>
          <w:color w:val="000000"/>
          <w:lang w:val="es-ES"/>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Cs/>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La depreciación representa la parte estimada de capacidad de los activos que se han consumido durante un periodo determinado, ya que su fin es de índole informativo, registrándose en los gastos del periodo, con el objeto de conocer el gasto patrimonial por el servicio que esté dando el activo, lo cual redundará en una estimación.</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Cs/>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Asimismo, el registro contable de la depreciación tiene como objetivo reconocer la pérdida del valor de un activo, que puede originarse por obsolescencia, desgaste, o deterioro ordinario, defecto de fabricación, falta de uso, insuficiencia, entre otros.</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Cs/>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Se toma como referencia los parámetros de estimación de Vida Útil, para la aplicación de la Depreciación de Bienes Muebles e Inmuebles, publicado en el Periódico Oficial de la Federación, el día 15 de agosto de 2012.</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Cs/>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 xml:space="preserve">En caso de que un bien se encuentre totalmente depreciado, pero se considera que aún cuenta con vida útil, se determinará el tiempo aproximado de vida útil del bien mueble y se mantendrá en la contabilidad el valor correspondiente, para esto se cancelará el monto de la revaluación total de la depreciación como el activo no circulante y el monto de la depreciación acumulada aplicada hasta </w:t>
      </w:r>
      <w:r w:rsidRPr="00F301E9">
        <w:rPr>
          <w:rFonts w:ascii="GalanoGrotesque-Light" w:eastAsia="Times New Roman" w:hAnsi="GalanoGrotesque-Light" w:cs="Times New Roman"/>
          <w:bCs/>
          <w:color w:val="000000"/>
          <w:lang w:val="es-ES" w:eastAsia="es-MX"/>
        </w:rPr>
        <w:lastRenderedPageBreak/>
        <w:t>por el importe que corresponda al periodo de la vida útil determinada y será sujeto nuevamente al proceso de la depreciación, y el titular de esta área deberá dejar constancia por escrito que se siguió para la determinación del tiempo de vida útil.</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Cs/>
          <w:color w:val="000000"/>
          <w:lang w:val="es-ES" w:eastAsia="es-MX"/>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Para tales efectos se consideran como base los Parámetros de Estimación de Vida Útil, recomendación emitida por el Consejo Nacional de Armonización Contable (CONAC), y estructurada en la “Guía de vida útil estimada y porcentajes de depreciación”, considerando un uso normal y adecuado a las características de los bienes, el porcentaje verificado para su aplicación de la Depreciación y amortización se clasifica en los siguientes rubros: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tbl>
      <w:tblPr>
        <w:tblW w:w="8912" w:type="dxa"/>
        <w:tblInd w:w="151" w:type="dxa"/>
        <w:tblLayout w:type="fixed"/>
        <w:tblCellMar>
          <w:left w:w="0" w:type="dxa"/>
          <w:right w:w="0" w:type="dxa"/>
        </w:tblCellMar>
        <w:tblLook w:val="01E0" w:firstRow="1" w:lastRow="1" w:firstColumn="1" w:lastColumn="1" w:noHBand="0" w:noVBand="0"/>
      </w:tblPr>
      <w:tblGrid>
        <w:gridCol w:w="72"/>
        <w:gridCol w:w="910"/>
        <w:gridCol w:w="72"/>
        <w:gridCol w:w="5455"/>
        <w:gridCol w:w="40"/>
        <w:gridCol w:w="47"/>
        <w:gridCol w:w="774"/>
        <w:gridCol w:w="7"/>
        <w:gridCol w:w="87"/>
        <w:gridCol w:w="1448"/>
      </w:tblGrid>
      <w:tr w:rsidR="00F301E9" w:rsidRPr="00F301E9" w:rsidTr="005D0231">
        <w:trPr>
          <w:trHeight w:hRule="exact" w:val="247"/>
        </w:trPr>
        <w:tc>
          <w:tcPr>
            <w:tcW w:w="982" w:type="dxa"/>
            <w:gridSpan w:val="2"/>
            <w:tcBorders>
              <w:top w:val="single" w:sz="7" w:space="0" w:color="000000"/>
              <w:left w:val="single" w:sz="7" w:space="0" w:color="000000"/>
              <w:bottom w:val="nil"/>
              <w:right w:val="single" w:sz="7" w:space="0" w:color="000000"/>
            </w:tcBorders>
            <w:shd w:val="clear" w:color="auto" w:fill="DFDFDF"/>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5614" w:type="dxa"/>
            <w:gridSpan w:val="4"/>
            <w:tcBorders>
              <w:top w:val="single" w:sz="7" w:space="0" w:color="000000"/>
              <w:left w:val="single" w:sz="7" w:space="0" w:color="000000"/>
              <w:bottom w:val="nil"/>
              <w:right w:val="single" w:sz="27" w:space="0" w:color="DFDFDF"/>
            </w:tcBorders>
            <w:shd w:val="clear" w:color="auto" w:fill="DFDFDF"/>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781" w:type="dxa"/>
            <w:gridSpan w:val="2"/>
            <w:vMerge w:val="restart"/>
            <w:tcBorders>
              <w:top w:val="single" w:sz="7" w:space="0" w:color="000000"/>
              <w:left w:val="single" w:sz="27" w:space="0" w:color="DFDFDF"/>
              <w:right w:val="single" w:sz="27" w:space="0" w:color="DFDFDF"/>
            </w:tcBorders>
            <w:shd w:val="clear" w:color="auto" w:fill="DFDFDF"/>
          </w:tcPr>
          <w:p w:rsidR="00F301E9" w:rsidRPr="00F301E9" w:rsidRDefault="00F301E9" w:rsidP="00F301E9">
            <w:pPr>
              <w:spacing w:before="22" w:after="60" w:line="278" w:lineRule="auto"/>
              <w:ind w:left="17" w:right="46"/>
              <w:jc w:val="center"/>
              <w:rPr>
                <w:rFonts w:ascii="Arial" w:eastAsia="Arial" w:hAnsi="Arial" w:cs="Arial"/>
                <w:sz w:val="18"/>
                <w:szCs w:val="18"/>
                <w:lang w:val="es-ES"/>
              </w:rPr>
            </w:pPr>
            <w:r w:rsidRPr="00F301E9">
              <w:rPr>
                <w:rFonts w:ascii="Arial" w:eastAsia="Arial" w:hAnsi="Arial" w:cs="Arial"/>
                <w:b/>
                <w:spacing w:val="-3"/>
                <w:sz w:val="18"/>
                <w:szCs w:val="18"/>
                <w:lang w:val="es-ES"/>
              </w:rPr>
              <w:t>A</w:t>
            </w:r>
            <w:r w:rsidRPr="00F301E9">
              <w:rPr>
                <w:rFonts w:ascii="Arial" w:eastAsia="Arial" w:hAnsi="Arial" w:cs="Arial"/>
                <w:b/>
                <w:sz w:val="18"/>
                <w:szCs w:val="18"/>
                <w:lang w:val="es-ES"/>
              </w:rPr>
              <w:t>ñ</w:t>
            </w:r>
            <w:r w:rsidRPr="00F301E9">
              <w:rPr>
                <w:rFonts w:ascii="Arial" w:eastAsia="Arial" w:hAnsi="Arial" w:cs="Arial"/>
                <w:b/>
                <w:spacing w:val="1"/>
                <w:sz w:val="18"/>
                <w:szCs w:val="18"/>
                <w:lang w:val="es-ES"/>
              </w:rPr>
              <w:t>o</w:t>
            </w:r>
            <w:r w:rsidRPr="00F301E9">
              <w:rPr>
                <w:rFonts w:ascii="Arial" w:eastAsia="Arial" w:hAnsi="Arial" w:cs="Arial"/>
                <w:b/>
                <w:sz w:val="18"/>
                <w:szCs w:val="18"/>
                <w:lang w:val="es-ES"/>
              </w:rPr>
              <w:t>s de</w:t>
            </w:r>
            <w:r w:rsidRPr="00F301E9">
              <w:rPr>
                <w:rFonts w:ascii="Arial" w:eastAsia="Arial" w:hAnsi="Arial" w:cs="Arial"/>
                <w:b/>
                <w:spacing w:val="1"/>
                <w:sz w:val="18"/>
                <w:szCs w:val="18"/>
                <w:lang w:val="es-ES"/>
              </w:rPr>
              <w:t xml:space="preserve"> </w:t>
            </w:r>
            <w:r w:rsidRPr="00F301E9">
              <w:rPr>
                <w:rFonts w:ascii="Arial" w:eastAsia="Arial" w:hAnsi="Arial" w:cs="Arial"/>
                <w:b/>
                <w:spacing w:val="-1"/>
                <w:sz w:val="18"/>
                <w:szCs w:val="18"/>
                <w:lang w:val="es-ES"/>
              </w:rPr>
              <w:t>v</w:t>
            </w:r>
            <w:r w:rsidRPr="00F301E9">
              <w:rPr>
                <w:rFonts w:ascii="Arial" w:eastAsia="Arial" w:hAnsi="Arial" w:cs="Arial"/>
                <w:b/>
                <w:sz w:val="18"/>
                <w:szCs w:val="18"/>
                <w:lang w:val="es-ES"/>
              </w:rPr>
              <w:t>i</w:t>
            </w:r>
            <w:r w:rsidRPr="00F301E9">
              <w:rPr>
                <w:rFonts w:ascii="Arial" w:eastAsia="Arial" w:hAnsi="Arial" w:cs="Arial"/>
                <w:b/>
                <w:spacing w:val="1"/>
                <w:sz w:val="18"/>
                <w:szCs w:val="18"/>
                <w:lang w:val="es-ES"/>
              </w:rPr>
              <w:t>d</w:t>
            </w:r>
            <w:r w:rsidRPr="00F301E9">
              <w:rPr>
                <w:rFonts w:ascii="Arial" w:eastAsia="Arial" w:hAnsi="Arial" w:cs="Arial"/>
                <w:b/>
                <w:sz w:val="18"/>
                <w:szCs w:val="18"/>
                <w:lang w:val="es-ES"/>
              </w:rPr>
              <w:t>a út</w:t>
            </w:r>
            <w:r w:rsidRPr="00F301E9">
              <w:rPr>
                <w:rFonts w:ascii="Arial" w:eastAsia="Arial" w:hAnsi="Arial" w:cs="Arial"/>
                <w:b/>
                <w:spacing w:val="1"/>
                <w:sz w:val="18"/>
                <w:szCs w:val="18"/>
                <w:lang w:val="es-ES"/>
              </w:rPr>
              <w:t>i</w:t>
            </w:r>
            <w:r w:rsidRPr="00F301E9">
              <w:rPr>
                <w:rFonts w:ascii="Arial" w:eastAsia="Arial" w:hAnsi="Arial" w:cs="Arial"/>
                <w:b/>
                <w:sz w:val="18"/>
                <w:szCs w:val="18"/>
                <w:lang w:val="es-ES"/>
              </w:rPr>
              <w:t>l</w:t>
            </w:r>
          </w:p>
        </w:tc>
        <w:tc>
          <w:tcPr>
            <w:tcW w:w="87" w:type="dxa"/>
            <w:vMerge w:val="restart"/>
            <w:tcBorders>
              <w:top w:val="nil"/>
              <w:left w:val="single" w:sz="27" w:space="0" w:color="DFDFDF"/>
              <w:right w:val="single" w:sz="27" w:space="0" w:color="DFDFDF"/>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1448" w:type="dxa"/>
            <w:vMerge w:val="restart"/>
            <w:tcBorders>
              <w:top w:val="single" w:sz="7" w:space="0" w:color="000000"/>
              <w:left w:val="single" w:sz="27" w:space="0" w:color="DFDFDF"/>
              <w:right w:val="single" w:sz="27" w:space="0" w:color="DFDFDF"/>
            </w:tcBorders>
            <w:shd w:val="clear" w:color="auto" w:fill="DFDFDF"/>
          </w:tcPr>
          <w:p w:rsidR="00F301E9" w:rsidRPr="00F301E9" w:rsidRDefault="00F301E9" w:rsidP="00F301E9">
            <w:pPr>
              <w:spacing w:before="22" w:after="60" w:line="278" w:lineRule="auto"/>
              <w:ind w:left="34" w:right="101" w:firstLine="2"/>
              <w:jc w:val="center"/>
              <w:rPr>
                <w:rFonts w:ascii="Arial" w:eastAsia="Arial" w:hAnsi="Arial" w:cs="Arial"/>
                <w:sz w:val="18"/>
                <w:szCs w:val="18"/>
                <w:lang w:val="es-ES"/>
              </w:rPr>
            </w:pPr>
            <w:r w:rsidRPr="00F301E9">
              <w:rPr>
                <w:rFonts w:ascii="Arial" w:eastAsia="Arial" w:hAnsi="Arial" w:cs="Arial"/>
                <w:b/>
                <w:sz w:val="18"/>
                <w:szCs w:val="18"/>
                <w:lang w:val="es-ES"/>
              </w:rPr>
              <w:t>%</w:t>
            </w:r>
            <w:r w:rsidRPr="00F301E9">
              <w:rPr>
                <w:rFonts w:ascii="Arial" w:eastAsia="Arial" w:hAnsi="Arial" w:cs="Arial"/>
                <w:b/>
                <w:spacing w:val="-4"/>
                <w:sz w:val="18"/>
                <w:szCs w:val="18"/>
                <w:lang w:val="es-ES"/>
              </w:rPr>
              <w:t xml:space="preserve"> </w:t>
            </w:r>
            <w:r w:rsidRPr="00F301E9">
              <w:rPr>
                <w:rFonts w:ascii="Arial" w:eastAsia="Arial" w:hAnsi="Arial" w:cs="Arial"/>
                <w:b/>
                <w:spacing w:val="1"/>
                <w:sz w:val="18"/>
                <w:szCs w:val="18"/>
                <w:lang w:val="es-ES"/>
              </w:rPr>
              <w:t>d</w:t>
            </w:r>
            <w:r w:rsidRPr="00F301E9">
              <w:rPr>
                <w:rFonts w:ascii="Arial" w:eastAsia="Arial" w:hAnsi="Arial" w:cs="Arial"/>
                <w:b/>
                <w:sz w:val="18"/>
                <w:szCs w:val="18"/>
                <w:lang w:val="es-ES"/>
              </w:rPr>
              <w:t>e d</w:t>
            </w:r>
            <w:r w:rsidRPr="00F301E9">
              <w:rPr>
                <w:rFonts w:ascii="Arial" w:eastAsia="Arial" w:hAnsi="Arial" w:cs="Arial"/>
                <w:b/>
                <w:spacing w:val="1"/>
                <w:sz w:val="18"/>
                <w:szCs w:val="18"/>
                <w:lang w:val="es-ES"/>
              </w:rPr>
              <w:t>e</w:t>
            </w:r>
            <w:r w:rsidRPr="00F301E9">
              <w:rPr>
                <w:rFonts w:ascii="Arial" w:eastAsia="Arial" w:hAnsi="Arial" w:cs="Arial"/>
                <w:b/>
                <w:sz w:val="18"/>
                <w:szCs w:val="18"/>
                <w:lang w:val="es-ES"/>
              </w:rPr>
              <w:t>pr</w:t>
            </w:r>
            <w:r w:rsidRPr="00F301E9">
              <w:rPr>
                <w:rFonts w:ascii="Arial" w:eastAsia="Arial" w:hAnsi="Arial" w:cs="Arial"/>
                <w:b/>
                <w:spacing w:val="1"/>
                <w:sz w:val="18"/>
                <w:szCs w:val="18"/>
                <w:lang w:val="es-ES"/>
              </w:rPr>
              <w:t>ec</w:t>
            </w:r>
            <w:r w:rsidRPr="00F301E9">
              <w:rPr>
                <w:rFonts w:ascii="Arial" w:eastAsia="Arial" w:hAnsi="Arial" w:cs="Arial"/>
                <w:b/>
                <w:sz w:val="18"/>
                <w:szCs w:val="18"/>
                <w:lang w:val="es-ES"/>
              </w:rPr>
              <w:t>i</w:t>
            </w:r>
            <w:r w:rsidRPr="00F301E9">
              <w:rPr>
                <w:rFonts w:ascii="Arial" w:eastAsia="Arial" w:hAnsi="Arial" w:cs="Arial"/>
                <w:b/>
                <w:spacing w:val="-1"/>
                <w:sz w:val="18"/>
                <w:szCs w:val="18"/>
                <w:lang w:val="es-ES"/>
              </w:rPr>
              <w:t>a</w:t>
            </w:r>
            <w:r w:rsidRPr="00F301E9">
              <w:rPr>
                <w:rFonts w:ascii="Arial" w:eastAsia="Arial" w:hAnsi="Arial" w:cs="Arial"/>
                <w:b/>
                <w:spacing w:val="1"/>
                <w:sz w:val="18"/>
                <w:szCs w:val="18"/>
                <w:lang w:val="es-ES"/>
              </w:rPr>
              <w:t>c</w:t>
            </w:r>
            <w:r w:rsidRPr="00F301E9">
              <w:rPr>
                <w:rFonts w:ascii="Arial" w:eastAsia="Arial" w:hAnsi="Arial" w:cs="Arial"/>
                <w:b/>
                <w:sz w:val="18"/>
                <w:szCs w:val="18"/>
                <w:lang w:val="es-ES"/>
              </w:rPr>
              <w:t>i</w:t>
            </w:r>
            <w:r w:rsidRPr="00F301E9">
              <w:rPr>
                <w:rFonts w:ascii="Arial" w:eastAsia="Arial" w:hAnsi="Arial" w:cs="Arial"/>
                <w:b/>
                <w:spacing w:val="1"/>
                <w:sz w:val="18"/>
                <w:szCs w:val="18"/>
                <w:lang w:val="es-ES"/>
              </w:rPr>
              <w:t>ó</w:t>
            </w:r>
            <w:r w:rsidRPr="00F301E9">
              <w:rPr>
                <w:rFonts w:ascii="Arial" w:eastAsia="Arial" w:hAnsi="Arial" w:cs="Arial"/>
                <w:b/>
                <w:sz w:val="18"/>
                <w:szCs w:val="18"/>
                <w:lang w:val="es-ES"/>
              </w:rPr>
              <w:t xml:space="preserve">n </w:t>
            </w:r>
            <w:r w:rsidRPr="00F301E9">
              <w:rPr>
                <w:rFonts w:ascii="Arial" w:eastAsia="Arial" w:hAnsi="Arial" w:cs="Arial"/>
                <w:b/>
                <w:spacing w:val="1"/>
                <w:sz w:val="18"/>
                <w:szCs w:val="18"/>
                <w:lang w:val="es-ES"/>
              </w:rPr>
              <w:t>a</w:t>
            </w:r>
            <w:r w:rsidRPr="00F301E9">
              <w:rPr>
                <w:rFonts w:ascii="Arial" w:eastAsia="Arial" w:hAnsi="Arial" w:cs="Arial"/>
                <w:b/>
                <w:sz w:val="18"/>
                <w:szCs w:val="18"/>
                <w:lang w:val="es-ES"/>
              </w:rPr>
              <w:t>n</w:t>
            </w:r>
            <w:r w:rsidRPr="00F301E9">
              <w:rPr>
                <w:rFonts w:ascii="Arial" w:eastAsia="Arial" w:hAnsi="Arial" w:cs="Arial"/>
                <w:b/>
                <w:spacing w:val="1"/>
                <w:sz w:val="18"/>
                <w:szCs w:val="18"/>
                <w:lang w:val="es-ES"/>
              </w:rPr>
              <w:t>ua</w:t>
            </w:r>
            <w:r w:rsidRPr="00F301E9">
              <w:rPr>
                <w:rFonts w:ascii="Arial" w:eastAsia="Arial" w:hAnsi="Arial" w:cs="Arial"/>
                <w:b/>
                <w:sz w:val="18"/>
                <w:szCs w:val="18"/>
                <w:lang w:val="es-ES"/>
              </w:rPr>
              <w:t>l</w:t>
            </w:r>
          </w:p>
        </w:tc>
      </w:tr>
      <w:tr w:rsidR="00F301E9" w:rsidRPr="00F301E9" w:rsidTr="005D0231">
        <w:trPr>
          <w:trHeight w:hRule="exact" w:val="343"/>
        </w:trPr>
        <w:tc>
          <w:tcPr>
            <w:tcW w:w="72" w:type="dxa"/>
            <w:tcBorders>
              <w:top w:val="nil"/>
              <w:left w:val="single" w:sz="27" w:space="0" w:color="DFDFDF"/>
              <w:bottom w:val="nil"/>
              <w:right w:val="nil"/>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910" w:type="dxa"/>
            <w:tcBorders>
              <w:top w:val="nil"/>
              <w:left w:val="nil"/>
              <w:bottom w:val="nil"/>
              <w:right w:val="single" w:sz="27" w:space="0" w:color="DFDFDF"/>
            </w:tcBorders>
            <w:shd w:val="clear" w:color="auto" w:fill="DFDFDF"/>
          </w:tcPr>
          <w:p w:rsidR="00F301E9" w:rsidRPr="00F301E9" w:rsidRDefault="00F301E9" w:rsidP="00F301E9">
            <w:pPr>
              <w:spacing w:before="23" w:after="60" w:line="360" w:lineRule="auto"/>
              <w:ind w:left="113"/>
              <w:jc w:val="both"/>
              <w:rPr>
                <w:rFonts w:ascii="Arial" w:eastAsia="Arial" w:hAnsi="Arial" w:cs="Arial"/>
                <w:sz w:val="18"/>
                <w:szCs w:val="18"/>
                <w:lang w:val="es-ES"/>
              </w:rPr>
            </w:pPr>
            <w:r w:rsidRPr="00F301E9">
              <w:rPr>
                <w:rFonts w:ascii="Arial" w:eastAsia="Arial" w:hAnsi="Arial" w:cs="Arial"/>
                <w:b/>
                <w:sz w:val="18"/>
                <w:szCs w:val="18"/>
                <w:lang w:val="es-ES"/>
              </w:rPr>
              <w:t>Cu</w:t>
            </w:r>
            <w:r w:rsidRPr="00F301E9">
              <w:rPr>
                <w:rFonts w:ascii="Arial" w:eastAsia="Arial" w:hAnsi="Arial" w:cs="Arial"/>
                <w:b/>
                <w:spacing w:val="1"/>
                <w:sz w:val="18"/>
                <w:szCs w:val="18"/>
                <w:lang w:val="es-ES"/>
              </w:rPr>
              <w:t>e</w:t>
            </w:r>
            <w:r w:rsidRPr="00F301E9">
              <w:rPr>
                <w:rFonts w:ascii="Arial" w:eastAsia="Arial" w:hAnsi="Arial" w:cs="Arial"/>
                <w:b/>
                <w:sz w:val="18"/>
                <w:szCs w:val="18"/>
                <w:lang w:val="es-ES"/>
              </w:rPr>
              <w:t>nta</w:t>
            </w:r>
          </w:p>
        </w:tc>
        <w:tc>
          <w:tcPr>
            <w:tcW w:w="72" w:type="dxa"/>
            <w:tcBorders>
              <w:top w:val="nil"/>
              <w:left w:val="single" w:sz="27" w:space="0" w:color="DFDFDF"/>
              <w:bottom w:val="nil"/>
              <w:right w:val="nil"/>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5455" w:type="dxa"/>
            <w:tcBorders>
              <w:top w:val="nil"/>
              <w:left w:val="nil"/>
              <w:bottom w:val="nil"/>
              <w:right w:val="single" w:sz="27" w:space="0" w:color="DFDFDF"/>
            </w:tcBorders>
            <w:shd w:val="clear" w:color="auto" w:fill="DFDFDF"/>
          </w:tcPr>
          <w:p w:rsidR="00F301E9" w:rsidRPr="00F301E9" w:rsidRDefault="00F301E9" w:rsidP="00F301E9">
            <w:pPr>
              <w:spacing w:before="23" w:after="60" w:line="360" w:lineRule="auto"/>
              <w:ind w:left="2262" w:right="2262"/>
              <w:jc w:val="center"/>
              <w:rPr>
                <w:rFonts w:ascii="Arial" w:eastAsia="Arial" w:hAnsi="Arial" w:cs="Arial"/>
                <w:sz w:val="18"/>
                <w:szCs w:val="18"/>
                <w:lang w:val="es-ES"/>
              </w:rPr>
            </w:pPr>
            <w:r w:rsidRPr="00F301E9">
              <w:rPr>
                <w:rFonts w:ascii="Arial" w:eastAsia="Arial" w:hAnsi="Arial" w:cs="Arial"/>
                <w:b/>
                <w:sz w:val="18"/>
                <w:szCs w:val="18"/>
                <w:lang w:val="es-ES"/>
              </w:rPr>
              <w:t>Con</w:t>
            </w:r>
            <w:r w:rsidRPr="00F301E9">
              <w:rPr>
                <w:rFonts w:ascii="Arial" w:eastAsia="Arial" w:hAnsi="Arial" w:cs="Arial"/>
                <w:b/>
                <w:spacing w:val="1"/>
                <w:sz w:val="18"/>
                <w:szCs w:val="18"/>
                <w:lang w:val="es-ES"/>
              </w:rPr>
              <w:t>ce</w:t>
            </w:r>
            <w:r w:rsidRPr="00F301E9">
              <w:rPr>
                <w:rFonts w:ascii="Arial" w:eastAsia="Arial" w:hAnsi="Arial" w:cs="Arial"/>
                <w:b/>
                <w:sz w:val="18"/>
                <w:szCs w:val="18"/>
                <w:lang w:val="es-ES"/>
              </w:rPr>
              <w:t>pto</w:t>
            </w:r>
          </w:p>
        </w:tc>
        <w:tc>
          <w:tcPr>
            <w:tcW w:w="87" w:type="dxa"/>
            <w:gridSpan w:val="2"/>
            <w:tcBorders>
              <w:top w:val="nil"/>
              <w:left w:val="single" w:sz="27" w:space="0" w:color="DFDFDF"/>
              <w:bottom w:val="nil"/>
              <w:right w:val="single" w:sz="27" w:space="0" w:color="DFDFDF"/>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781" w:type="dxa"/>
            <w:gridSpan w:val="2"/>
            <w:vMerge/>
            <w:tcBorders>
              <w:left w:val="single" w:sz="27" w:space="0" w:color="DFDFDF"/>
              <w:right w:val="single" w:sz="27" w:space="0" w:color="DFDFDF"/>
            </w:tcBorders>
            <w:shd w:val="clear" w:color="auto" w:fill="DFDFDF"/>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87" w:type="dxa"/>
            <w:vMerge/>
            <w:tcBorders>
              <w:left w:val="single" w:sz="27" w:space="0" w:color="DFDFDF"/>
              <w:right w:val="single" w:sz="27" w:space="0" w:color="DFDFDF"/>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1448" w:type="dxa"/>
            <w:vMerge/>
            <w:tcBorders>
              <w:left w:val="single" w:sz="27" w:space="0" w:color="DFDFDF"/>
              <w:right w:val="single" w:sz="27" w:space="0" w:color="DFDFDF"/>
            </w:tcBorders>
            <w:shd w:val="clear" w:color="auto" w:fill="DFDFDF"/>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r>
      <w:tr w:rsidR="00F301E9" w:rsidRPr="00F301E9" w:rsidTr="005D0231">
        <w:trPr>
          <w:trHeight w:hRule="exact" w:val="248"/>
        </w:trPr>
        <w:tc>
          <w:tcPr>
            <w:tcW w:w="982" w:type="dxa"/>
            <w:gridSpan w:val="2"/>
            <w:tcBorders>
              <w:top w:val="nil"/>
              <w:left w:val="single" w:sz="7" w:space="0" w:color="000000"/>
              <w:bottom w:val="single" w:sz="7" w:space="0" w:color="000000"/>
              <w:right w:val="single" w:sz="7" w:space="0" w:color="000000"/>
            </w:tcBorders>
            <w:shd w:val="clear" w:color="auto" w:fill="DFDFDF"/>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5614" w:type="dxa"/>
            <w:gridSpan w:val="4"/>
            <w:tcBorders>
              <w:top w:val="nil"/>
              <w:left w:val="single" w:sz="7" w:space="0" w:color="000000"/>
              <w:bottom w:val="single" w:sz="7" w:space="0" w:color="000000"/>
              <w:right w:val="single" w:sz="27" w:space="0" w:color="DFDFDF"/>
            </w:tcBorders>
            <w:shd w:val="clear" w:color="auto" w:fill="DFDFDF"/>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781" w:type="dxa"/>
            <w:gridSpan w:val="2"/>
            <w:vMerge/>
            <w:tcBorders>
              <w:left w:val="single" w:sz="27" w:space="0" w:color="DFDFDF"/>
              <w:bottom w:val="single" w:sz="7" w:space="0" w:color="000000"/>
              <w:right w:val="single" w:sz="27" w:space="0" w:color="DFDFDF"/>
            </w:tcBorders>
            <w:shd w:val="clear" w:color="auto" w:fill="DFDFDF"/>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87" w:type="dxa"/>
            <w:vMerge/>
            <w:tcBorders>
              <w:left w:val="single" w:sz="27" w:space="0" w:color="DFDFDF"/>
              <w:bottom w:val="nil"/>
              <w:right w:val="single" w:sz="27" w:space="0" w:color="DFDFDF"/>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1448" w:type="dxa"/>
            <w:vMerge/>
            <w:tcBorders>
              <w:left w:val="single" w:sz="27" w:space="0" w:color="DFDFDF"/>
              <w:bottom w:val="single" w:sz="7" w:space="0" w:color="000000"/>
              <w:right w:val="single" w:sz="27" w:space="0" w:color="DFDFDF"/>
            </w:tcBorders>
            <w:shd w:val="clear" w:color="auto" w:fill="DFDFDF"/>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1</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2</w:t>
            </w:r>
            <w:r w:rsidRPr="00F301E9">
              <w:rPr>
                <w:rFonts w:ascii="Arial" w:eastAsia="Arial" w:hAnsi="Arial" w:cs="Arial"/>
                <w:b/>
                <w:sz w:val="18"/>
                <w:szCs w:val="18"/>
                <w:lang w:val="es-ES"/>
              </w:rPr>
              <w:t>.3</w:t>
            </w:r>
          </w:p>
        </w:tc>
        <w:tc>
          <w:tcPr>
            <w:tcW w:w="7930" w:type="dxa"/>
            <w:gridSpan w:val="8"/>
            <w:tcBorders>
              <w:top w:val="nil"/>
              <w:left w:val="single" w:sz="7" w:space="0" w:color="000000"/>
              <w:bottom w:val="nil"/>
              <w:right w:val="single" w:sz="7" w:space="0" w:color="000000"/>
            </w:tcBorders>
          </w:tcPr>
          <w:p w:rsidR="00F301E9" w:rsidRPr="00F301E9" w:rsidRDefault="00F301E9" w:rsidP="00F301E9">
            <w:pPr>
              <w:spacing w:before="30" w:after="60" w:line="360" w:lineRule="auto"/>
              <w:ind w:left="64"/>
              <w:jc w:val="both"/>
              <w:rPr>
                <w:rFonts w:ascii="Arial" w:eastAsia="Arial" w:hAnsi="Arial" w:cs="Arial"/>
                <w:sz w:val="18"/>
                <w:szCs w:val="18"/>
                <w:lang w:val="es-ES"/>
              </w:rPr>
            </w:pPr>
            <w:r w:rsidRPr="00F301E9">
              <w:rPr>
                <w:rFonts w:ascii="Arial" w:eastAsia="Arial" w:hAnsi="Arial" w:cs="Arial"/>
                <w:b/>
                <w:sz w:val="18"/>
                <w:szCs w:val="18"/>
                <w:lang w:val="es-ES"/>
              </w:rPr>
              <w:t xml:space="preserve">BIENES </w:t>
            </w:r>
            <w:r w:rsidRPr="00F301E9">
              <w:rPr>
                <w:rFonts w:ascii="Arial" w:eastAsia="Arial" w:hAnsi="Arial" w:cs="Arial"/>
                <w:b/>
                <w:spacing w:val="1"/>
                <w:sz w:val="18"/>
                <w:szCs w:val="18"/>
                <w:lang w:val="es-ES"/>
              </w:rPr>
              <w:t>I</w:t>
            </w:r>
            <w:r w:rsidRPr="00F301E9">
              <w:rPr>
                <w:rFonts w:ascii="Arial" w:eastAsia="Arial" w:hAnsi="Arial" w:cs="Arial"/>
                <w:b/>
                <w:sz w:val="18"/>
                <w:szCs w:val="18"/>
                <w:lang w:val="es-ES"/>
              </w:rPr>
              <w:t>N</w:t>
            </w:r>
            <w:r w:rsidRPr="00F301E9">
              <w:rPr>
                <w:rFonts w:ascii="Arial" w:eastAsia="Arial" w:hAnsi="Arial" w:cs="Arial"/>
                <w:b/>
                <w:spacing w:val="1"/>
                <w:sz w:val="18"/>
                <w:szCs w:val="18"/>
                <w:lang w:val="es-ES"/>
              </w:rPr>
              <w:t>M</w:t>
            </w:r>
            <w:r w:rsidRPr="00F301E9">
              <w:rPr>
                <w:rFonts w:ascii="Arial" w:eastAsia="Arial" w:hAnsi="Arial" w:cs="Arial"/>
                <w:b/>
                <w:sz w:val="18"/>
                <w:szCs w:val="18"/>
                <w:lang w:val="es-ES"/>
              </w:rPr>
              <w:t>UE</w:t>
            </w:r>
            <w:r w:rsidRPr="00F301E9">
              <w:rPr>
                <w:rFonts w:ascii="Arial" w:eastAsia="Arial" w:hAnsi="Arial" w:cs="Arial"/>
                <w:b/>
                <w:spacing w:val="-1"/>
                <w:sz w:val="18"/>
                <w:szCs w:val="18"/>
                <w:lang w:val="es-ES"/>
              </w:rPr>
              <w:t>B</w:t>
            </w:r>
            <w:r w:rsidRPr="00F301E9">
              <w:rPr>
                <w:rFonts w:ascii="Arial" w:eastAsia="Arial" w:hAnsi="Arial" w:cs="Arial"/>
                <w:b/>
                <w:sz w:val="18"/>
                <w:szCs w:val="18"/>
                <w:lang w:val="es-ES"/>
              </w:rPr>
              <w:t>LES,</w:t>
            </w:r>
            <w:r w:rsidRPr="00F301E9">
              <w:rPr>
                <w:rFonts w:ascii="Arial" w:eastAsia="Arial" w:hAnsi="Arial" w:cs="Arial"/>
                <w:b/>
                <w:spacing w:val="1"/>
                <w:sz w:val="18"/>
                <w:szCs w:val="18"/>
                <w:lang w:val="es-ES"/>
              </w:rPr>
              <w:t xml:space="preserve"> I</w:t>
            </w:r>
            <w:r w:rsidRPr="00F301E9">
              <w:rPr>
                <w:rFonts w:ascii="Arial" w:eastAsia="Arial" w:hAnsi="Arial" w:cs="Arial"/>
                <w:b/>
                <w:sz w:val="18"/>
                <w:szCs w:val="18"/>
                <w:lang w:val="es-ES"/>
              </w:rPr>
              <w:t>NFR</w:t>
            </w:r>
            <w:r w:rsidRPr="00F301E9">
              <w:rPr>
                <w:rFonts w:ascii="Arial" w:eastAsia="Arial" w:hAnsi="Arial" w:cs="Arial"/>
                <w:b/>
                <w:spacing w:val="-1"/>
                <w:sz w:val="18"/>
                <w:szCs w:val="18"/>
                <w:lang w:val="es-ES"/>
              </w:rPr>
              <w:t>A</w:t>
            </w:r>
            <w:r w:rsidRPr="00F301E9">
              <w:rPr>
                <w:rFonts w:ascii="Arial" w:eastAsia="Arial" w:hAnsi="Arial" w:cs="Arial"/>
                <w:b/>
                <w:sz w:val="18"/>
                <w:szCs w:val="18"/>
                <w:lang w:val="es-ES"/>
              </w:rPr>
              <w:t>ESTRU</w:t>
            </w:r>
            <w:r w:rsidRPr="00F301E9">
              <w:rPr>
                <w:rFonts w:ascii="Arial" w:eastAsia="Arial" w:hAnsi="Arial" w:cs="Arial"/>
                <w:b/>
                <w:spacing w:val="-1"/>
                <w:sz w:val="18"/>
                <w:szCs w:val="18"/>
                <w:lang w:val="es-ES"/>
              </w:rPr>
              <w:t>C</w:t>
            </w:r>
            <w:r w:rsidRPr="00F301E9">
              <w:rPr>
                <w:rFonts w:ascii="Arial" w:eastAsia="Arial" w:hAnsi="Arial" w:cs="Arial"/>
                <w:b/>
                <w:sz w:val="18"/>
                <w:szCs w:val="18"/>
                <w:lang w:val="es-ES"/>
              </w:rPr>
              <w:t>TU</w:t>
            </w:r>
            <w:r w:rsidRPr="00F301E9">
              <w:rPr>
                <w:rFonts w:ascii="Arial" w:eastAsia="Arial" w:hAnsi="Arial" w:cs="Arial"/>
                <w:b/>
                <w:spacing w:val="2"/>
                <w:sz w:val="18"/>
                <w:szCs w:val="18"/>
                <w:lang w:val="es-ES"/>
              </w:rPr>
              <w:t>R</w:t>
            </w:r>
            <w:r w:rsidRPr="00F301E9">
              <w:rPr>
                <w:rFonts w:ascii="Arial" w:eastAsia="Arial" w:hAnsi="Arial" w:cs="Arial"/>
                <w:b/>
                <w:sz w:val="18"/>
                <w:szCs w:val="18"/>
                <w:lang w:val="es-ES"/>
              </w:rPr>
              <w:t>A</w:t>
            </w:r>
            <w:r w:rsidRPr="00F301E9">
              <w:rPr>
                <w:rFonts w:ascii="Arial" w:eastAsia="Arial" w:hAnsi="Arial" w:cs="Arial"/>
                <w:b/>
                <w:spacing w:val="-3"/>
                <w:sz w:val="18"/>
                <w:szCs w:val="18"/>
                <w:lang w:val="es-ES"/>
              </w:rPr>
              <w:t xml:space="preserve"> </w:t>
            </w:r>
            <w:r w:rsidRPr="00F301E9">
              <w:rPr>
                <w:rFonts w:ascii="Arial" w:eastAsia="Arial" w:hAnsi="Arial" w:cs="Arial"/>
                <w:b/>
                <w:sz w:val="18"/>
                <w:szCs w:val="18"/>
                <w:lang w:val="es-ES"/>
              </w:rPr>
              <w:t>Y</w:t>
            </w:r>
            <w:r w:rsidRPr="00F301E9">
              <w:rPr>
                <w:rFonts w:ascii="Arial" w:eastAsia="Arial" w:hAnsi="Arial" w:cs="Arial"/>
                <w:b/>
                <w:spacing w:val="1"/>
                <w:sz w:val="18"/>
                <w:szCs w:val="18"/>
                <w:lang w:val="es-ES"/>
              </w:rPr>
              <w:t xml:space="preserve"> </w:t>
            </w:r>
            <w:r w:rsidRPr="00F301E9">
              <w:rPr>
                <w:rFonts w:ascii="Arial" w:eastAsia="Arial" w:hAnsi="Arial" w:cs="Arial"/>
                <w:b/>
                <w:sz w:val="18"/>
                <w:szCs w:val="18"/>
                <w:lang w:val="es-ES"/>
              </w:rPr>
              <w:t>C</w:t>
            </w:r>
            <w:r w:rsidRPr="00F301E9">
              <w:rPr>
                <w:rFonts w:ascii="Arial" w:eastAsia="Arial" w:hAnsi="Arial" w:cs="Arial"/>
                <w:b/>
                <w:spacing w:val="-1"/>
                <w:sz w:val="18"/>
                <w:szCs w:val="18"/>
                <w:lang w:val="es-ES"/>
              </w:rPr>
              <w:t>O</w:t>
            </w:r>
            <w:r w:rsidRPr="00F301E9">
              <w:rPr>
                <w:rFonts w:ascii="Arial" w:eastAsia="Arial" w:hAnsi="Arial" w:cs="Arial"/>
                <w:b/>
                <w:sz w:val="18"/>
                <w:szCs w:val="18"/>
                <w:lang w:val="es-ES"/>
              </w:rPr>
              <w:t>NSTR</w:t>
            </w:r>
            <w:r w:rsidRPr="00F301E9">
              <w:rPr>
                <w:rFonts w:ascii="Arial" w:eastAsia="Arial" w:hAnsi="Arial" w:cs="Arial"/>
                <w:b/>
                <w:spacing w:val="1"/>
                <w:sz w:val="18"/>
                <w:szCs w:val="18"/>
                <w:lang w:val="es-ES"/>
              </w:rPr>
              <w:t>U</w:t>
            </w:r>
            <w:r w:rsidRPr="00F301E9">
              <w:rPr>
                <w:rFonts w:ascii="Arial" w:eastAsia="Arial" w:hAnsi="Arial" w:cs="Arial"/>
                <w:b/>
                <w:sz w:val="18"/>
                <w:szCs w:val="18"/>
                <w:lang w:val="es-ES"/>
              </w:rPr>
              <w:t>C</w:t>
            </w:r>
            <w:r w:rsidRPr="00F301E9">
              <w:rPr>
                <w:rFonts w:ascii="Arial" w:eastAsia="Arial" w:hAnsi="Arial" w:cs="Arial"/>
                <w:b/>
                <w:spacing w:val="-1"/>
                <w:sz w:val="18"/>
                <w:szCs w:val="18"/>
                <w:lang w:val="es-ES"/>
              </w:rPr>
              <w:t>C</w:t>
            </w:r>
            <w:r w:rsidRPr="00F301E9">
              <w:rPr>
                <w:rFonts w:ascii="Arial" w:eastAsia="Arial" w:hAnsi="Arial" w:cs="Arial"/>
                <w:b/>
                <w:sz w:val="18"/>
                <w:szCs w:val="18"/>
                <w:lang w:val="es-ES"/>
              </w:rPr>
              <w:t>IO</w:t>
            </w:r>
            <w:r w:rsidRPr="00F301E9">
              <w:rPr>
                <w:rFonts w:ascii="Arial" w:eastAsia="Arial" w:hAnsi="Arial" w:cs="Arial"/>
                <w:b/>
                <w:spacing w:val="-1"/>
                <w:sz w:val="18"/>
                <w:szCs w:val="18"/>
                <w:lang w:val="es-ES"/>
              </w:rPr>
              <w:t>N</w:t>
            </w:r>
            <w:r w:rsidRPr="00F301E9">
              <w:rPr>
                <w:rFonts w:ascii="Arial" w:eastAsia="Arial" w:hAnsi="Arial" w:cs="Arial"/>
                <w:b/>
                <w:sz w:val="18"/>
                <w:szCs w:val="18"/>
                <w:lang w:val="es-ES"/>
              </w:rPr>
              <w:t>ES EN PR</w:t>
            </w:r>
            <w:r w:rsidRPr="00F301E9">
              <w:rPr>
                <w:rFonts w:ascii="Arial" w:eastAsia="Arial" w:hAnsi="Arial" w:cs="Arial"/>
                <w:b/>
                <w:spacing w:val="-1"/>
                <w:sz w:val="18"/>
                <w:szCs w:val="18"/>
                <w:lang w:val="es-ES"/>
              </w:rPr>
              <w:t>O</w:t>
            </w:r>
            <w:r w:rsidRPr="00F301E9">
              <w:rPr>
                <w:rFonts w:ascii="Arial" w:eastAsia="Arial" w:hAnsi="Arial" w:cs="Arial"/>
                <w:b/>
                <w:sz w:val="18"/>
                <w:szCs w:val="18"/>
                <w:lang w:val="es-ES"/>
              </w:rPr>
              <w:t>CE</w:t>
            </w:r>
            <w:r w:rsidRPr="00F301E9">
              <w:rPr>
                <w:rFonts w:ascii="Arial" w:eastAsia="Arial" w:hAnsi="Arial" w:cs="Arial"/>
                <w:b/>
                <w:spacing w:val="2"/>
                <w:sz w:val="18"/>
                <w:szCs w:val="18"/>
                <w:lang w:val="es-ES"/>
              </w:rPr>
              <w:t>S</w:t>
            </w:r>
            <w:r w:rsidRPr="00F301E9">
              <w:rPr>
                <w:rFonts w:ascii="Arial" w:eastAsia="Arial" w:hAnsi="Arial" w:cs="Arial"/>
                <w:b/>
                <w:sz w:val="18"/>
                <w:szCs w:val="18"/>
                <w:lang w:val="es-ES"/>
              </w:rPr>
              <w:t>O</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3</w:t>
            </w:r>
            <w:r w:rsidRPr="00F301E9">
              <w:rPr>
                <w:rFonts w:ascii="Arial" w:eastAsia="Arial" w:hAnsi="Arial" w:cs="Arial"/>
                <w:spacing w:val="-2"/>
                <w:sz w:val="18"/>
                <w:szCs w:val="18"/>
                <w:lang w:val="es-ES"/>
              </w:rPr>
              <w:t>.</w:t>
            </w:r>
            <w:r w:rsidRPr="00F301E9">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V</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v</w:t>
            </w:r>
            <w:r w:rsidRPr="00F301E9">
              <w:rPr>
                <w:rFonts w:ascii="Arial" w:eastAsia="Arial" w:hAnsi="Arial" w:cs="Arial"/>
                <w:spacing w:val="1"/>
                <w:sz w:val="18"/>
                <w:szCs w:val="18"/>
                <w:lang w:val="es-ES"/>
              </w:rPr>
              <w:t>iend</w:t>
            </w:r>
            <w:r w:rsidRPr="00F301E9">
              <w:rPr>
                <w:rFonts w:ascii="Arial" w:eastAsia="Arial" w:hAnsi="Arial" w:cs="Arial"/>
                <w:spacing w:val="-2"/>
                <w:sz w:val="18"/>
                <w:szCs w:val="18"/>
                <w:lang w:val="es-ES"/>
              </w:rPr>
              <w:t>a</w:t>
            </w:r>
            <w:r w:rsidRPr="00F301E9">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268" w:right="300"/>
              <w:jc w:val="center"/>
              <w:rPr>
                <w:rFonts w:ascii="Arial" w:eastAsia="Arial" w:hAnsi="Arial" w:cs="Arial"/>
                <w:sz w:val="18"/>
                <w:szCs w:val="18"/>
                <w:lang w:val="es-ES"/>
              </w:rPr>
            </w:pPr>
            <w:r w:rsidRPr="00F301E9">
              <w:rPr>
                <w:rFonts w:ascii="Arial" w:eastAsia="Arial" w:hAnsi="Arial" w:cs="Arial"/>
                <w:spacing w:val="1"/>
                <w:sz w:val="18"/>
                <w:szCs w:val="18"/>
                <w:lang w:val="es-ES"/>
              </w:rPr>
              <w:t>50</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80" w:right="581"/>
              <w:jc w:val="center"/>
              <w:rPr>
                <w:rFonts w:ascii="Arial" w:eastAsia="Arial" w:hAnsi="Arial" w:cs="Arial"/>
                <w:sz w:val="18"/>
                <w:szCs w:val="18"/>
                <w:lang w:val="es-ES"/>
              </w:rPr>
            </w:pPr>
            <w:r w:rsidRPr="00F301E9">
              <w:rPr>
                <w:rFonts w:ascii="Arial" w:eastAsia="Arial" w:hAnsi="Arial" w:cs="Arial"/>
                <w:sz w:val="18"/>
                <w:szCs w:val="18"/>
                <w:lang w:val="es-ES"/>
              </w:rPr>
              <w:t>2</w:t>
            </w:r>
          </w:p>
        </w:tc>
      </w:tr>
      <w:tr w:rsidR="00F301E9" w:rsidRPr="00F301E9" w:rsidTr="005D0231">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3</w:t>
            </w:r>
            <w:r w:rsidRPr="00F301E9">
              <w:rPr>
                <w:rFonts w:ascii="Arial" w:eastAsia="Arial" w:hAnsi="Arial" w:cs="Arial"/>
                <w:spacing w:val="-2"/>
                <w:sz w:val="18"/>
                <w:szCs w:val="18"/>
                <w:lang w:val="es-ES"/>
              </w:rPr>
              <w:t>.</w:t>
            </w:r>
            <w:r w:rsidRPr="00F301E9">
              <w:rPr>
                <w:rFonts w:ascii="Arial" w:eastAsia="Arial" w:hAnsi="Arial" w:cs="Arial"/>
                <w:sz w:val="18"/>
                <w:szCs w:val="18"/>
                <w:lang w:val="es-ES"/>
              </w:rPr>
              <w:t>3</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w:t>
            </w:r>
            <w:r w:rsidRPr="00F301E9">
              <w:rPr>
                <w:rFonts w:ascii="Arial" w:eastAsia="Arial" w:hAnsi="Arial" w:cs="Arial"/>
                <w:spacing w:val="1"/>
                <w:sz w:val="18"/>
                <w:szCs w:val="18"/>
                <w:lang w:val="es-ES"/>
              </w:rPr>
              <w:t>di</w:t>
            </w:r>
            <w:r w:rsidRPr="00F301E9">
              <w:rPr>
                <w:rFonts w:ascii="Arial" w:eastAsia="Arial" w:hAnsi="Arial" w:cs="Arial"/>
                <w:sz w:val="18"/>
                <w:szCs w:val="18"/>
                <w:lang w:val="es-ES"/>
              </w:rPr>
              <w:t>f</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ci</w:t>
            </w:r>
            <w:r w:rsidRPr="00F301E9">
              <w:rPr>
                <w:rFonts w:ascii="Arial" w:eastAsia="Arial" w:hAnsi="Arial" w:cs="Arial"/>
                <w:spacing w:val="-2"/>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No</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H</w:t>
            </w:r>
            <w:r w:rsidRPr="00F301E9">
              <w:rPr>
                <w:rFonts w:ascii="Arial" w:eastAsia="Arial" w:hAnsi="Arial" w:cs="Arial"/>
                <w:spacing w:val="-2"/>
                <w:sz w:val="18"/>
                <w:szCs w:val="18"/>
                <w:lang w:val="es-ES"/>
              </w:rPr>
              <w:t>a</w:t>
            </w:r>
            <w:r w:rsidRPr="00F301E9">
              <w:rPr>
                <w:rFonts w:ascii="Arial" w:eastAsia="Arial" w:hAnsi="Arial" w:cs="Arial"/>
                <w:spacing w:val="1"/>
                <w:sz w:val="18"/>
                <w:szCs w:val="18"/>
                <w:lang w:val="es-ES"/>
              </w:rPr>
              <w:t>bi</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a</w:t>
            </w:r>
            <w:r w:rsidRPr="00F301E9">
              <w:rPr>
                <w:rFonts w:ascii="Arial" w:eastAsia="Arial" w:hAnsi="Arial" w:cs="Arial"/>
                <w:spacing w:val="1"/>
                <w:sz w:val="18"/>
                <w:szCs w:val="18"/>
                <w:lang w:val="es-ES"/>
              </w:rPr>
              <w:t>ci</w:t>
            </w:r>
            <w:r w:rsidRPr="00F301E9">
              <w:rPr>
                <w:rFonts w:ascii="Arial" w:eastAsia="Arial" w:hAnsi="Arial" w:cs="Arial"/>
                <w:spacing w:val="-2"/>
                <w:sz w:val="18"/>
                <w:szCs w:val="18"/>
                <w:lang w:val="es-ES"/>
              </w:rPr>
              <w:t>o</w:t>
            </w:r>
            <w:r w:rsidRPr="00F301E9">
              <w:rPr>
                <w:rFonts w:ascii="Arial" w:eastAsia="Arial" w:hAnsi="Arial" w:cs="Arial"/>
                <w:spacing w:val="1"/>
                <w:sz w:val="18"/>
                <w:szCs w:val="18"/>
                <w:lang w:val="es-ES"/>
              </w:rPr>
              <w:t>na</w:t>
            </w:r>
            <w:r w:rsidRPr="00F301E9">
              <w:rPr>
                <w:rFonts w:ascii="Arial" w:eastAsia="Arial" w:hAnsi="Arial" w:cs="Arial"/>
                <w:spacing w:val="-2"/>
                <w:sz w:val="18"/>
                <w:szCs w:val="18"/>
                <w:lang w:val="es-ES"/>
              </w:rPr>
              <w:t>l</w:t>
            </w:r>
            <w:r w:rsidRPr="00F301E9">
              <w:rPr>
                <w:rFonts w:ascii="Arial" w:eastAsia="Arial" w:hAnsi="Arial" w:cs="Arial"/>
                <w:spacing w:val="1"/>
                <w:sz w:val="18"/>
                <w:szCs w:val="18"/>
                <w:lang w:val="es-ES"/>
              </w:rPr>
              <w:t>e</w:t>
            </w:r>
            <w:r w:rsidRPr="00F301E9">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268" w:right="300"/>
              <w:jc w:val="center"/>
              <w:rPr>
                <w:rFonts w:ascii="Arial" w:eastAsia="Arial" w:hAnsi="Arial" w:cs="Arial"/>
                <w:sz w:val="18"/>
                <w:szCs w:val="18"/>
                <w:lang w:val="es-ES"/>
              </w:rPr>
            </w:pPr>
            <w:r w:rsidRPr="00F301E9">
              <w:rPr>
                <w:rFonts w:ascii="Arial" w:eastAsia="Arial" w:hAnsi="Arial" w:cs="Arial"/>
                <w:spacing w:val="1"/>
                <w:sz w:val="18"/>
                <w:szCs w:val="18"/>
                <w:lang w:val="es-ES"/>
              </w:rPr>
              <w:t>30</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06" w:right="504"/>
              <w:jc w:val="center"/>
              <w:rPr>
                <w:rFonts w:ascii="Arial" w:eastAsia="Arial" w:hAnsi="Arial" w:cs="Arial"/>
                <w:sz w:val="18"/>
                <w:szCs w:val="18"/>
                <w:lang w:val="es-ES"/>
              </w:rPr>
            </w:pPr>
            <w:r w:rsidRPr="00F301E9">
              <w:rPr>
                <w:rFonts w:ascii="Arial" w:eastAsia="Arial" w:hAnsi="Arial" w:cs="Arial"/>
                <w:spacing w:val="1"/>
                <w:sz w:val="18"/>
                <w:szCs w:val="18"/>
                <w:lang w:val="es-ES"/>
              </w:rPr>
              <w:t>3</w:t>
            </w:r>
            <w:r w:rsidRPr="00F301E9">
              <w:rPr>
                <w:rFonts w:ascii="Arial" w:eastAsia="Arial" w:hAnsi="Arial" w:cs="Arial"/>
                <w:sz w:val="18"/>
                <w:szCs w:val="18"/>
                <w:lang w:val="es-ES"/>
              </w:rPr>
              <w:t>.3</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3</w:t>
            </w:r>
            <w:r w:rsidRPr="00F301E9">
              <w:rPr>
                <w:rFonts w:ascii="Arial" w:eastAsia="Arial" w:hAnsi="Arial" w:cs="Arial"/>
                <w:spacing w:val="-2"/>
                <w:sz w:val="18"/>
                <w:szCs w:val="18"/>
                <w:lang w:val="es-ES"/>
              </w:rPr>
              <w:t>.</w:t>
            </w:r>
            <w:r w:rsidRPr="00F301E9">
              <w:rPr>
                <w:rFonts w:ascii="Arial" w:eastAsia="Arial" w:hAnsi="Arial" w:cs="Arial"/>
                <w:sz w:val="18"/>
                <w:szCs w:val="18"/>
                <w:lang w:val="es-ES"/>
              </w:rPr>
              <w:t>4</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I</w:t>
            </w:r>
            <w:r w:rsidRPr="00F301E9">
              <w:rPr>
                <w:rFonts w:ascii="Arial" w:eastAsia="Arial" w:hAnsi="Arial" w:cs="Arial"/>
                <w:spacing w:val="1"/>
                <w:sz w:val="18"/>
                <w:szCs w:val="18"/>
                <w:lang w:val="es-ES"/>
              </w:rPr>
              <w:t>n</w:t>
            </w:r>
            <w:r w:rsidRPr="00F301E9">
              <w:rPr>
                <w:rFonts w:ascii="Arial" w:eastAsia="Arial" w:hAnsi="Arial" w:cs="Arial"/>
                <w:sz w:val="18"/>
                <w:szCs w:val="18"/>
                <w:lang w:val="es-ES"/>
              </w:rPr>
              <w:t>fr</w:t>
            </w:r>
            <w:r w:rsidRPr="00F301E9">
              <w:rPr>
                <w:rFonts w:ascii="Arial" w:eastAsia="Arial" w:hAnsi="Arial" w:cs="Arial"/>
                <w:spacing w:val="1"/>
                <w:sz w:val="18"/>
                <w:szCs w:val="18"/>
                <w:lang w:val="es-ES"/>
              </w:rPr>
              <w:t>a</w:t>
            </w:r>
            <w:r w:rsidRPr="00F301E9">
              <w:rPr>
                <w:rFonts w:ascii="Arial" w:eastAsia="Arial" w:hAnsi="Arial" w:cs="Arial"/>
                <w:spacing w:val="-2"/>
                <w:sz w:val="18"/>
                <w:szCs w:val="18"/>
                <w:lang w:val="es-ES"/>
              </w:rPr>
              <w:t>e</w:t>
            </w:r>
            <w:r w:rsidRPr="00F301E9">
              <w:rPr>
                <w:rFonts w:ascii="Arial" w:eastAsia="Arial" w:hAnsi="Arial" w:cs="Arial"/>
                <w:spacing w:val="1"/>
                <w:sz w:val="18"/>
                <w:szCs w:val="18"/>
                <w:lang w:val="es-ES"/>
              </w:rPr>
              <w:t>s</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u</w:t>
            </w:r>
            <w:r w:rsidRPr="00F301E9">
              <w:rPr>
                <w:rFonts w:ascii="Arial" w:eastAsia="Arial" w:hAnsi="Arial" w:cs="Arial"/>
                <w:spacing w:val="1"/>
                <w:sz w:val="18"/>
                <w:szCs w:val="18"/>
                <w:lang w:val="es-ES"/>
              </w:rPr>
              <w:t>c</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u</w:t>
            </w:r>
            <w:r w:rsidRPr="00F301E9">
              <w:rPr>
                <w:rFonts w:ascii="Arial" w:eastAsia="Arial" w:hAnsi="Arial" w:cs="Arial"/>
                <w:sz w:val="18"/>
                <w:szCs w:val="18"/>
                <w:lang w:val="es-ES"/>
              </w:rPr>
              <w:t>ra</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268" w:right="300"/>
              <w:jc w:val="center"/>
              <w:rPr>
                <w:rFonts w:ascii="Arial" w:eastAsia="Arial" w:hAnsi="Arial" w:cs="Arial"/>
                <w:sz w:val="18"/>
                <w:szCs w:val="18"/>
                <w:lang w:val="es-ES"/>
              </w:rPr>
            </w:pPr>
            <w:r w:rsidRPr="00F301E9">
              <w:rPr>
                <w:rFonts w:ascii="Arial" w:eastAsia="Arial" w:hAnsi="Arial" w:cs="Arial"/>
                <w:spacing w:val="1"/>
                <w:sz w:val="18"/>
                <w:szCs w:val="18"/>
                <w:lang w:val="es-ES"/>
              </w:rPr>
              <w:t>25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80" w:right="581"/>
              <w:jc w:val="center"/>
              <w:rPr>
                <w:rFonts w:ascii="Arial" w:eastAsia="Arial" w:hAnsi="Arial" w:cs="Arial"/>
                <w:sz w:val="18"/>
                <w:szCs w:val="18"/>
                <w:lang w:val="es-ES"/>
              </w:rPr>
            </w:pPr>
            <w:r w:rsidRPr="00F301E9">
              <w:rPr>
                <w:rFonts w:ascii="Arial" w:eastAsia="Arial" w:hAnsi="Arial" w:cs="Arial"/>
                <w:sz w:val="18"/>
                <w:szCs w:val="18"/>
                <w:lang w:val="es-ES"/>
              </w:rPr>
              <w:t>4</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3</w:t>
            </w:r>
            <w:r w:rsidRPr="00F301E9">
              <w:rPr>
                <w:rFonts w:ascii="Arial" w:eastAsia="Arial" w:hAnsi="Arial" w:cs="Arial"/>
                <w:spacing w:val="-2"/>
                <w:sz w:val="18"/>
                <w:szCs w:val="18"/>
                <w:lang w:val="es-ES"/>
              </w:rPr>
              <w:t>.</w:t>
            </w:r>
            <w:r w:rsidRPr="00F301E9">
              <w:rPr>
                <w:rFonts w:ascii="Arial" w:eastAsia="Arial" w:hAnsi="Arial" w:cs="Arial"/>
                <w:sz w:val="18"/>
                <w:szCs w:val="18"/>
                <w:lang w:val="es-ES"/>
              </w:rPr>
              <w:t>9</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O</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B</w:t>
            </w:r>
            <w:r w:rsidRPr="00F301E9">
              <w:rPr>
                <w:rFonts w:ascii="Arial" w:eastAsia="Arial" w:hAnsi="Arial" w:cs="Arial"/>
                <w:spacing w:val="1"/>
                <w:sz w:val="18"/>
                <w:szCs w:val="18"/>
                <w:lang w:val="es-ES"/>
              </w:rPr>
              <w:t>i</w:t>
            </w:r>
            <w:r w:rsidRPr="00F301E9">
              <w:rPr>
                <w:rFonts w:ascii="Arial" w:eastAsia="Arial" w:hAnsi="Arial" w:cs="Arial"/>
                <w:spacing w:val="-2"/>
                <w:sz w:val="18"/>
                <w:szCs w:val="18"/>
                <w:lang w:val="es-ES"/>
              </w:rPr>
              <w:t>e</w:t>
            </w:r>
            <w:r w:rsidRPr="00F301E9">
              <w:rPr>
                <w:rFonts w:ascii="Arial" w:eastAsia="Arial" w:hAnsi="Arial" w:cs="Arial"/>
                <w:spacing w:val="1"/>
                <w:sz w:val="18"/>
                <w:szCs w:val="18"/>
                <w:lang w:val="es-ES"/>
              </w:rPr>
              <w:t>ne</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I</w:t>
            </w:r>
            <w:r w:rsidRPr="00F301E9">
              <w:rPr>
                <w:rFonts w:ascii="Arial" w:eastAsia="Arial" w:hAnsi="Arial" w:cs="Arial"/>
                <w:spacing w:val="-2"/>
                <w:sz w:val="18"/>
                <w:szCs w:val="18"/>
                <w:lang w:val="es-ES"/>
              </w:rPr>
              <w:t>n</w:t>
            </w:r>
            <w:r w:rsidRPr="00F301E9">
              <w:rPr>
                <w:rFonts w:ascii="Arial" w:eastAsia="Arial" w:hAnsi="Arial" w:cs="Arial"/>
                <w:spacing w:val="1"/>
                <w:sz w:val="18"/>
                <w:szCs w:val="18"/>
                <w:lang w:val="es-ES"/>
              </w:rPr>
              <w:t>mue</w:t>
            </w:r>
            <w:r w:rsidRPr="00F301E9">
              <w:rPr>
                <w:rFonts w:ascii="Arial" w:eastAsia="Arial" w:hAnsi="Arial" w:cs="Arial"/>
                <w:spacing w:val="-2"/>
                <w:sz w:val="18"/>
                <w:szCs w:val="18"/>
                <w:lang w:val="es-ES"/>
              </w:rPr>
              <w:t>b</w:t>
            </w:r>
            <w:r w:rsidRPr="00F301E9">
              <w:rPr>
                <w:rFonts w:ascii="Arial" w:eastAsia="Arial" w:hAnsi="Arial" w:cs="Arial"/>
                <w:spacing w:val="1"/>
                <w:sz w:val="18"/>
                <w:szCs w:val="18"/>
                <w:lang w:val="es-ES"/>
              </w:rPr>
              <w:t>l</w:t>
            </w:r>
            <w:r w:rsidRPr="00F301E9">
              <w:rPr>
                <w:rFonts w:ascii="Arial" w:eastAsia="Arial" w:hAnsi="Arial" w:cs="Arial"/>
                <w:spacing w:val="-2"/>
                <w:sz w:val="18"/>
                <w:szCs w:val="18"/>
                <w:lang w:val="es-ES"/>
              </w:rPr>
              <w:t>e</w:t>
            </w:r>
            <w:r w:rsidRPr="00F301E9">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268" w:right="30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80" w:right="581"/>
              <w:jc w:val="center"/>
              <w:rPr>
                <w:rFonts w:ascii="Arial" w:eastAsia="Arial" w:hAnsi="Arial" w:cs="Arial"/>
                <w:sz w:val="18"/>
                <w:szCs w:val="18"/>
                <w:lang w:val="es-ES"/>
              </w:rPr>
            </w:pPr>
            <w:r w:rsidRPr="00F301E9">
              <w:rPr>
                <w:rFonts w:ascii="Arial" w:eastAsia="Arial" w:hAnsi="Arial" w:cs="Arial"/>
                <w:sz w:val="18"/>
                <w:szCs w:val="18"/>
                <w:lang w:val="es-ES"/>
              </w:rPr>
              <w:t>5</w:t>
            </w:r>
          </w:p>
        </w:tc>
      </w:tr>
      <w:tr w:rsidR="00F301E9" w:rsidRPr="00F301E9" w:rsidTr="005D0231">
        <w:trPr>
          <w:trHeight w:hRule="exact" w:val="103"/>
        </w:trPr>
        <w:tc>
          <w:tcPr>
            <w:tcW w:w="8912" w:type="dxa"/>
            <w:gridSpan w:val="10"/>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1</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2</w:t>
            </w:r>
            <w:r w:rsidRPr="00F301E9">
              <w:rPr>
                <w:rFonts w:ascii="Arial" w:eastAsia="Arial" w:hAnsi="Arial" w:cs="Arial"/>
                <w:b/>
                <w:sz w:val="18"/>
                <w:szCs w:val="18"/>
                <w:lang w:val="es-ES"/>
              </w:rPr>
              <w:t>.4</w:t>
            </w:r>
          </w:p>
        </w:tc>
        <w:tc>
          <w:tcPr>
            <w:tcW w:w="7930" w:type="dxa"/>
            <w:gridSpan w:val="8"/>
            <w:tcBorders>
              <w:top w:val="single" w:sz="7" w:space="0" w:color="000000"/>
              <w:left w:val="single" w:sz="7" w:space="0" w:color="000000"/>
              <w:bottom w:val="nil"/>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z w:val="18"/>
                <w:szCs w:val="18"/>
                <w:lang w:val="es-ES"/>
              </w:rPr>
              <w:t xml:space="preserve">BIENES </w:t>
            </w:r>
            <w:r w:rsidRPr="00F301E9">
              <w:rPr>
                <w:rFonts w:ascii="Arial" w:eastAsia="Arial" w:hAnsi="Arial" w:cs="Arial"/>
                <w:b/>
                <w:spacing w:val="1"/>
                <w:sz w:val="18"/>
                <w:szCs w:val="18"/>
                <w:lang w:val="es-ES"/>
              </w:rPr>
              <w:t>M</w:t>
            </w:r>
            <w:r w:rsidRPr="00F301E9">
              <w:rPr>
                <w:rFonts w:ascii="Arial" w:eastAsia="Arial" w:hAnsi="Arial" w:cs="Arial"/>
                <w:b/>
                <w:sz w:val="18"/>
                <w:szCs w:val="18"/>
                <w:lang w:val="es-ES"/>
              </w:rPr>
              <w:t>UEBLES</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1</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2</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4</w:t>
            </w:r>
            <w:r w:rsidRPr="00F301E9">
              <w:rPr>
                <w:rFonts w:ascii="Arial" w:eastAsia="Arial" w:hAnsi="Arial" w:cs="Arial"/>
                <w:b/>
                <w:spacing w:val="-2"/>
                <w:sz w:val="18"/>
                <w:szCs w:val="18"/>
                <w:lang w:val="es-ES"/>
              </w:rPr>
              <w:t>.</w:t>
            </w:r>
            <w:r w:rsidRPr="00F301E9">
              <w:rPr>
                <w:rFonts w:ascii="Arial" w:eastAsia="Arial" w:hAnsi="Arial" w:cs="Arial"/>
                <w:b/>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M</w:t>
            </w:r>
            <w:r w:rsidRPr="00F301E9">
              <w:rPr>
                <w:rFonts w:ascii="Arial" w:eastAsia="Arial" w:hAnsi="Arial" w:cs="Arial"/>
                <w:b/>
                <w:sz w:val="18"/>
                <w:szCs w:val="18"/>
                <w:lang w:val="es-ES"/>
              </w:rPr>
              <w:t>o</w:t>
            </w:r>
            <w:r w:rsidRPr="00F301E9">
              <w:rPr>
                <w:rFonts w:ascii="Arial" w:eastAsia="Arial" w:hAnsi="Arial" w:cs="Arial"/>
                <w:b/>
                <w:spacing w:val="1"/>
                <w:sz w:val="18"/>
                <w:szCs w:val="18"/>
                <w:lang w:val="es-ES"/>
              </w:rPr>
              <w:t>b</w:t>
            </w:r>
            <w:r w:rsidRPr="00F301E9">
              <w:rPr>
                <w:rFonts w:ascii="Arial" w:eastAsia="Arial" w:hAnsi="Arial" w:cs="Arial"/>
                <w:b/>
                <w:sz w:val="18"/>
                <w:szCs w:val="18"/>
                <w:lang w:val="es-ES"/>
              </w:rPr>
              <w:t>i</w:t>
            </w:r>
            <w:r w:rsidRPr="00F301E9">
              <w:rPr>
                <w:rFonts w:ascii="Arial" w:eastAsia="Arial" w:hAnsi="Arial" w:cs="Arial"/>
                <w:b/>
                <w:spacing w:val="1"/>
                <w:sz w:val="18"/>
                <w:szCs w:val="18"/>
                <w:lang w:val="es-ES"/>
              </w:rPr>
              <w:t>l</w:t>
            </w:r>
            <w:r w:rsidRPr="00F301E9">
              <w:rPr>
                <w:rFonts w:ascii="Arial" w:eastAsia="Arial" w:hAnsi="Arial" w:cs="Arial"/>
                <w:b/>
                <w:spacing w:val="-2"/>
                <w:sz w:val="18"/>
                <w:szCs w:val="18"/>
                <w:lang w:val="es-ES"/>
              </w:rPr>
              <w:t>i</w:t>
            </w:r>
            <w:r w:rsidRPr="00F301E9">
              <w:rPr>
                <w:rFonts w:ascii="Arial" w:eastAsia="Arial" w:hAnsi="Arial" w:cs="Arial"/>
                <w:b/>
                <w:spacing w:val="1"/>
                <w:sz w:val="18"/>
                <w:szCs w:val="18"/>
                <w:lang w:val="es-ES"/>
              </w:rPr>
              <w:t>a</w:t>
            </w:r>
            <w:r w:rsidRPr="00F301E9">
              <w:rPr>
                <w:rFonts w:ascii="Arial" w:eastAsia="Arial" w:hAnsi="Arial" w:cs="Arial"/>
                <w:b/>
                <w:sz w:val="18"/>
                <w:szCs w:val="18"/>
                <w:lang w:val="es-ES"/>
              </w:rPr>
              <w:t>rio</w:t>
            </w:r>
            <w:r w:rsidRPr="00F301E9">
              <w:rPr>
                <w:rFonts w:ascii="Arial" w:eastAsia="Arial" w:hAnsi="Arial" w:cs="Arial"/>
                <w:b/>
                <w:spacing w:val="3"/>
                <w:sz w:val="18"/>
                <w:szCs w:val="18"/>
                <w:lang w:val="es-ES"/>
              </w:rPr>
              <w:t xml:space="preserve"> </w:t>
            </w:r>
            <w:r w:rsidRPr="00F301E9">
              <w:rPr>
                <w:rFonts w:ascii="Arial" w:eastAsia="Arial" w:hAnsi="Arial" w:cs="Arial"/>
                <w:b/>
                <w:sz w:val="18"/>
                <w:szCs w:val="18"/>
                <w:lang w:val="es-ES"/>
              </w:rPr>
              <w:t>y</w:t>
            </w:r>
            <w:r w:rsidRPr="00F301E9">
              <w:rPr>
                <w:rFonts w:ascii="Arial" w:eastAsia="Arial" w:hAnsi="Arial" w:cs="Arial"/>
                <w:b/>
                <w:spacing w:val="-6"/>
                <w:sz w:val="18"/>
                <w:szCs w:val="18"/>
                <w:lang w:val="es-ES"/>
              </w:rPr>
              <w:t xml:space="preserve"> </w:t>
            </w:r>
            <w:r w:rsidRPr="00F301E9">
              <w:rPr>
                <w:rFonts w:ascii="Arial" w:eastAsia="Arial" w:hAnsi="Arial" w:cs="Arial"/>
                <w:b/>
                <w:sz w:val="18"/>
                <w:szCs w:val="18"/>
                <w:lang w:val="es-ES"/>
              </w:rPr>
              <w:t>E</w:t>
            </w:r>
            <w:r w:rsidRPr="00F301E9">
              <w:rPr>
                <w:rFonts w:ascii="Arial" w:eastAsia="Arial" w:hAnsi="Arial" w:cs="Arial"/>
                <w:b/>
                <w:spacing w:val="1"/>
                <w:sz w:val="18"/>
                <w:szCs w:val="18"/>
                <w:lang w:val="es-ES"/>
              </w:rPr>
              <w:t>q</w:t>
            </w:r>
            <w:r w:rsidRPr="00F301E9">
              <w:rPr>
                <w:rFonts w:ascii="Arial" w:eastAsia="Arial" w:hAnsi="Arial" w:cs="Arial"/>
                <w:b/>
                <w:sz w:val="18"/>
                <w:szCs w:val="18"/>
                <w:lang w:val="es-ES"/>
              </w:rPr>
              <w:t>u</w:t>
            </w:r>
            <w:r w:rsidRPr="00F301E9">
              <w:rPr>
                <w:rFonts w:ascii="Arial" w:eastAsia="Arial" w:hAnsi="Arial" w:cs="Arial"/>
                <w:b/>
                <w:spacing w:val="1"/>
                <w:sz w:val="18"/>
                <w:szCs w:val="18"/>
                <w:lang w:val="es-ES"/>
              </w:rPr>
              <w:t>i</w:t>
            </w:r>
            <w:r w:rsidRPr="00F301E9">
              <w:rPr>
                <w:rFonts w:ascii="Arial" w:eastAsia="Arial" w:hAnsi="Arial" w:cs="Arial"/>
                <w:b/>
                <w:sz w:val="18"/>
                <w:szCs w:val="18"/>
                <w:lang w:val="es-ES"/>
              </w:rPr>
              <w:t>po</w:t>
            </w:r>
            <w:r w:rsidRPr="00F301E9">
              <w:rPr>
                <w:rFonts w:ascii="Arial" w:eastAsia="Arial" w:hAnsi="Arial" w:cs="Arial"/>
                <w:b/>
                <w:spacing w:val="1"/>
                <w:sz w:val="18"/>
                <w:szCs w:val="18"/>
                <w:lang w:val="es-ES"/>
              </w:rPr>
              <w:t xml:space="preserve"> d</w:t>
            </w:r>
            <w:r w:rsidRPr="00F301E9">
              <w:rPr>
                <w:rFonts w:ascii="Arial" w:eastAsia="Arial" w:hAnsi="Arial" w:cs="Arial"/>
                <w:b/>
                <w:sz w:val="18"/>
                <w:szCs w:val="18"/>
                <w:lang w:val="es-ES"/>
              </w:rPr>
              <w:t>e</w:t>
            </w:r>
            <w:r w:rsidRPr="00F301E9">
              <w:rPr>
                <w:rFonts w:ascii="Arial" w:eastAsia="Arial" w:hAnsi="Arial" w:cs="Arial"/>
                <w:b/>
                <w:spacing w:val="1"/>
                <w:sz w:val="18"/>
                <w:szCs w:val="18"/>
                <w:lang w:val="es-ES"/>
              </w:rPr>
              <w:t xml:space="preserve"> </w:t>
            </w:r>
            <w:r w:rsidRPr="00F301E9">
              <w:rPr>
                <w:rFonts w:ascii="Arial" w:eastAsia="Arial" w:hAnsi="Arial" w:cs="Arial"/>
                <w:b/>
                <w:spacing w:val="-2"/>
                <w:sz w:val="18"/>
                <w:szCs w:val="18"/>
                <w:lang w:val="es-ES"/>
              </w:rPr>
              <w:t>A</w:t>
            </w:r>
            <w:r w:rsidRPr="00F301E9">
              <w:rPr>
                <w:rFonts w:ascii="Arial" w:eastAsia="Arial" w:hAnsi="Arial" w:cs="Arial"/>
                <w:b/>
                <w:sz w:val="18"/>
                <w:szCs w:val="18"/>
                <w:lang w:val="es-ES"/>
              </w:rPr>
              <w:t>d</w:t>
            </w:r>
            <w:r w:rsidRPr="00F301E9">
              <w:rPr>
                <w:rFonts w:ascii="Arial" w:eastAsia="Arial" w:hAnsi="Arial" w:cs="Arial"/>
                <w:b/>
                <w:spacing w:val="1"/>
                <w:sz w:val="18"/>
                <w:szCs w:val="18"/>
                <w:lang w:val="es-ES"/>
              </w:rPr>
              <w:t>m</w:t>
            </w:r>
            <w:r w:rsidRPr="00F301E9">
              <w:rPr>
                <w:rFonts w:ascii="Arial" w:eastAsia="Arial" w:hAnsi="Arial" w:cs="Arial"/>
                <w:b/>
                <w:spacing w:val="-2"/>
                <w:sz w:val="18"/>
                <w:szCs w:val="18"/>
                <w:lang w:val="es-ES"/>
              </w:rPr>
              <w:t>i</w:t>
            </w:r>
            <w:r w:rsidRPr="00F301E9">
              <w:rPr>
                <w:rFonts w:ascii="Arial" w:eastAsia="Arial" w:hAnsi="Arial" w:cs="Arial"/>
                <w:b/>
                <w:sz w:val="18"/>
                <w:szCs w:val="18"/>
                <w:lang w:val="es-ES"/>
              </w:rPr>
              <w:t>n</w:t>
            </w:r>
            <w:r w:rsidRPr="00F301E9">
              <w:rPr>
                <w:rFonts w:ascii="Arial" w:eastAsia="Arial" w:hAnsi="Arial" w:cs="Arial"/>
                <w:b/>
                <w:spacing w:val="1"/>
                <w:sz w:val="18"/>
                <w:szCs w:val="18"/>
                <w:lang w:val="es-ES"/>
              </w:rPr>
              <w:t>is</w:t>
            </w:r>
            <w:r w:rsidRPr="00F301E9">
              <w:rPr>
                <w:rFonts w:ascii="Arial" w:eastAsia="Arial" w:hAnsi="Arial" w:cs="Arial"/>
                <w:b/>
                <w:sz w:val="18"/>
                <w:szCs w:val="18"/>
                <w:lang w:val="es-ES"/>
              </w:rPr>
              <w:t>tra</w:t>
            </w:r>
            <w:r w:rsidRPr="00F301E9">
              <w:rPr>
                <w:rFonts w:ascii="Arial" w:eastAsia="Arial" w:hAnsi="Arial" w:cs="Arial"/>
                <w:b/>
                <w:spacing w:val="1"/>
                <w:sz w:val="18"/>
                <w:szCs w:val="18"/>
                <w:lang w:val="es-ES"/>
              </w:rPr>
              <w:t>c</w:t>
            </w:r>
            <w:r w:rsidRPr="00F301E9">
              <w:rPr>
                <w:rFonts w:ascii="Arial" w:eastAsia="Arial" w:hAnsi="Arial" w:cs="Arial"/>
                <w:b/>
                <w:sz w:val="18"/>
                <w:szCs w:val="18"/>
                <w:lang w:val="es-ES"/>
              </w:rPr>
              <w:t>i</w:t>
            </w:r>
            <w:r w:rsidRPr="00F301E9">
              <w:rPr>
                <w:rFonts w:ascii="Arial" w:eastAsia="Arial" w:hAnsi="Arial" w:cs="Arial"/>
                <w:b/>
                <w:spacing w:val="-2"/>
                <w:sz w:val="18"/>
                <w:szCs w:val="18"/>
                <w:lang w:val="es-ES"/>
              </w:rPr>
              <w:t>ó</w:t>
            </w:r>
            <w:r w:rsidRPr="00F301E9">
              <w:rPr>
                <w:rFonts w:ascii="Arial" w:eastAsia="Arial" w:hAnsi="Arial" w:cs="Arial"/>
                <w:b/>
                <w:sz w:val="18"/>
                <w:szCs w:val="18"/>
                <w:lang w:val="es-ES"/>
              </w:rPr>
              <w:t>n</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r>
      <w:tr w:rsidR="00F301E9" w:rsidRPr="00F301E9" w:rsidTr="005D0231">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1</w:t>
            </w:r>
            <w:r w:rsidRPr="00F301E9">
              <w:rPr>
                <w:rFonts w:ascii="Arial" w:eastAsia="Arial" w:hAnsi="Arial" w:cs="Arial"/>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4"/>
                <w:sz w:val="18"/>
                <w:szCs w:val="18"/>
                <w:lang w:val="es-ES"/>
              </w:rPr>
              <w:t>M</w:t>
            </w:r>
            <w:r w:rsidRPr="00F301E9">
              <w:rPr>
                <w:rFonts w:ascii="Arial" w:eastAsia="Arial" w:hAnsi="Arial" w:cs="Arial"/>
                <w:spacing w:val="1"/>
                <w:sz w:val="18"/>
                <w:szCs w:val="18"/>
                <w:lang w:val="es-ES"/>
              </w:rPr>
              <w:t>ueble</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O</w:t>
            </w:r>
            <w:r w:rsidRPr="00F301E9">
              <w:rPr>
                <w:rFonts w:ascii="Arial" w:eastAsia="Arial" w:hAnsi="Arial" w:cs="Arial"/>
                <w:spacing w:val="-3"/>
                <w:sz w:val="18"/>
                <w:szCs w:val="18"/>
                <w:lang w:val="es-ES"/>
              </w:rPr>
              <w:t>f</w:t>
            </w:r>
            <w:r w:rsidRPr="00F301E9">
              <w:rPr>
                <w:rFonts w:ascii="Arial" w:eastAsia="Arial" w:hAnsi="Arial" w:cs="Arial"/>
                <w:spacing w:val="1"/>
                <w:sz w:val="18"/>
                <w:szCs w:val="18"/>
                <w:lang w:val="es-ES"/>
              </w:rPr>
              <w:t>ic</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n</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s</w:t>
            </w:r>
            <w:r w:rsidRPr="00F301E9">
              <w:rPr>
                <w:rFonts w:ascii="Arial" w:eastAsia="Arial" w:hAnsi="Arial" w:cs="Arial"/>
                <w:spacing w:val="-2"/>
                <w:sz w:val="18"/>
                <w:szCs w:val="18"/>
                <w:lang w:val="es-ES"/>
              </w:rPr>
              <w:t>t</w:t>
            </w:r>
            <w:r w:rsidRPr="00F301E9">
              <w:rPr>
                <w:rFonts w:ascii="Arial" w:eastAsia="Arial" w:hAnsi="Arial" w:cs="Arial"/>
                <w:spacing w:val="1"/>
                <w:sz w:val="18"/>
                <w:szCs w:val="18"/>
                <w:lang w:val="es-ES"/>
              </w:rPr>
              <w:t>an</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e</w:t>
            </w:r>
            <w:r w:rsidRPr="00F301E9">
              <w:rPr>
                <w:rFonts w:ascii="Arial" w:eastAsia="Arial" w:hAnsi="Arial" w:cs="Arial"/>
                <w:spacing w:val="-2"/>
                <w:sz w:val="18"/>
                <w:szCs w:val="18"/>
                <w:lang w:val="es-ES"/>
              </w:rPr>
              <w:t>rí</w:t>
            </w:r>
            <w:r w:rsidRPr="00F301E9">
              <w:rPr>
                <w:rFonts w:ascii="Arial" w:eastAsia="Arial" w:hAnsi="Arial" w:cs="Arial"/>
                <w:sz w:val="18"/>
                <w:szCs w:val="18"/>
                <w:lang w:val="es-ES"/>
              </w:rPr>
              <w:t>a</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268" w:right="30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356"/>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1</w:t>
            </w:r>
            <w:r w:rsidRPr="00F301E9">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4"/>
                <w:sz w:val="18"/>
                <w:szCs w:val="18"/>
                <w:lang w:val="es-ES"/>
              </w:rPr>
              <w:t>M</w:t>
            </w:r>
            <w:r w:rsidRPr="00F301E9">
              <w:rPr>
                <w:rFonts w:ascii="Arial" w:eastAsia="Arial" w:hAnsi="Arial" w:cs="Arial"/>
                <w:spacing w:val="1"/>
                <w:sz w:val="18"/>
                <w:szCs w:val="18"/>
                <w:lang w:val="es-ES"/>
              </w:rPr>
              <w:t>uebles</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4"/>
                <w:sz w:val="18"/>
                <w:szCs w:val="18"/>
                <w:lang w:val="es-ES"/>
              </w:rPr>
              <w:t>x</w:t>
            </w:r>
            <w:r w:rsidRPr="00F301E9">
              <w:rPr>
                <w:rFonts w:ascii="Arial" w:eastAsia="Arial" w:hAnsi="Arial" w:cs="Arial"/>
                <w:spacing w:val="1"/>
                <w:sz w:val="18"/>
                <w:szCs w:val="18"/>
                <w:lang w:val="es-ES"/>
              </w:rPr>
              <w:t>cep</w:t>
            </w:r>
            <w:r w:rsidRPr="00F301E9">
              <w:rPr>
                <w:rFonts w:ascii="Arial" w:eastAsia="Arial" w:hAnsi="Arial" w:cs="Arial"/>
                <w:sz w:val="18"/>
                <w:szCs w:val="18"/>
                <w:lang w:val="es-ES"/>
              </w:rPr>
              <w:t>to</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De</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Of</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c</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n</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2"/>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s</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an</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e</w:t>
            </w:r>
            <w:r w:rsidRPr="00F301E9">
              <w:rPr>
                <w:rFonts w:ascii="Arial" w:eastAsia="Arial" w:hAnsi="Arial" w:cs="Arial"/>
                <w:sz w:val="18"/>
                <w:szCs w:val="18"/>
                <w:lang w:val="es-ES"/>
              </w:rPr>
              <w:t>ría</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268" w:right="30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1</w:t>
            </w:r>
            <w:r w:rsidRPr="00F301E9">
              <w:rPr>
                <w:rFonts w:ascii="Arial" w:eastAsia="Arial" w:hAnsi="Arial" w:cs="Arial"/>
                <w:sz w:val="18"/>
                <w:szCs w:val="18"/>
                <w:lang w:val="es-ES"/>
              </w:rPr>
              <w:t>.3</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w:t>
            </w:r>
            <w:r w:rsidRPr="00F301E9">
              <w:rPr>
                <w:rFonts w:ascii="Arial" w:eastAsia="Arial" w:hAnsi="Arial" w:cs="Arial"/>
                <w:spacing w:val="1"/>
                <w:sz w:val="18"/>
                <w:szCs w:val="18"/>
                <w:lang w:val="es-ES"/>
              </w:rPr>
              <w:t>quip</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C</w:t>
            </w:r>
            <w:r w:rsidRPr="00F301E9">
              <w:rPr>
                <w:rFonts w:ascii="Arial" w:eastAsia="Arial" w:hAnsi="Arial" w:cs="Arial"/>
                <w:spacing w:val="-2"/>
                <w:sz w:val="18"/>
                <w:szCs w:val="18"/>
                <w:lang w:val="es-ES"/>
              </w:rPr>
              <w:t>ó</w:t>
            </w:r>
            <w:r w:rsidRPr="00F301E9">
              <w:rPr>
                <w:rFonts w:ascii="Arial" w:eastAsia="Arial" w:hAnsi="Arial" w:cs="Arial"/>
                <w:spacing w:val="1"/>
                <w:sz w:val="18"/>
                <w:szCs w:val="18"/>
                <w:lang w:val="es-ES"/>
              </w:rPr>
              <w:t>m</w:t>
            </w:r>
            <w:r w:rsidRPr="00F301E9">
              <w:rPr>
                <w:rFonts w:ascii="Arial" w:eastAsia="Arial" w:hAnsi="Arial" w:cs="Arial"/>
                <w:spacing w:val="-2"/>
                <w:sz w:val="18"/>
                <w:szCs w:val="18"/>
                <w:lang w:val="es-ES"/>
              </w:rPr>
              <w:t>p</w:t>
            </w:r>
            <w:r w:rsidRPr="00F301E9">
              <w:rPr>
                <w:rFonts w:ascii="Arial" w:eastAsia="Arial" w:hAnsi="Arial" w:cs="Arial"/>
                <w:spacing w:val="1"/>
                <w:sz w:val="18"/>
                <w:szCs w:val="18"/>
                <w:lang w:val="es-ES"/>
              </w:rPr>
              <w:t>u</w:t>
            </w:r>
            <w:r w:rsidRPr="00F301E9">
              <w:rPr>
                <w:rFonts w:ascii="Arial" w:eastAsia="Arial" w:hAnsi="Arial" w:cs="Arial"/>
                <w:sz w:val="18"/>
                <w:szCs w:val="18"/>
                <w:lang w:val="es-ES"/>
              </w:rPr>
              <w:t>to</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pacing w:val="-2"/>
                <w:sz w:val="18"/>
                <w:szCs w:val="18"/>
                <w:lang w:val="es-ES"/>
              </w:rPr>
              <w:t>T</w:t>
            </w:r>
            <w:r w:rsidRPr="00F301E9">
              <w:rPr>
                <w:rFonts w:ascii="Arial" w:eastAsia="Arial" w:hAnsi="Arial" w:cs="Arial"/>
                <w:spacing w:val="1"/>
                <w:sz w:val="18"/>
                <w:szCs w:val="18"/>
                <w:lang w:val="es-ES"/>
              </w:rPr>
              <w:t>ec</w:t>
            </w:r>
            <w:r w:rsidRPr="00F301E9">
              <w:rPr>
                <w:rFonts w:ascii="Arial" w:eastAsia="Arial" w:hAnsi="Arial" w:cs="Arial"/>
                <w:spacing w:val="-2"/>
                <w:sz w:val="18"/>
                <w:szCs w:val="18"/>
                <w:lang w:val="es-ES"/>
              </w:rPr>
              <w:t>n</w:t>
            </w:r>
            <w:r w:rsidRPr="00F301E9">
              <w:rPr>
                <w:rFonts w:ascii="Arial" w:eastAsia="Arial" w:hAnsi="Arial" w:cs="Arial"/>
                <w:spacing w:val="1"/>
                <w:sz w:val="18"/>
                <w:szCs w:val="18"/>
                <w:lang w:val="es-ES"/>
              </w:rPr>
              <w:t>olog</w:t>
            </w:r>
            <w:r w:rsidRPr="00F301E9">
              <w:rPr>
                <w:rFonts w:ascii="Arial" w:eastAsia="Arial" w:hAnsi="Arial" w:cs="Arial"/>
                <w:spacing w:val="-2"/>
                <w:sz w:val="18"/>
                <w:szCs w:val="18"/>
                <w:lang w:val="es-ES"/>
              </w:rPr>
              <w:t>í</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l</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 xml:space="preserve"> In</w:t>
            </w:r>
            <w:r w:rsidRPr="00F301E9">
              <w:rPr>
                <w:rFonts w:ascii="Arial" w:eastAsia="Arial" w:hAnsi="Arial" w:cs="Arial"/>
                <w:spacing w:val="-2"/>
                <w:sz w:val="18"/>
                <w:szCs w:val="18"/>
                <w:lang w:val="es-ES"/>
              </w:rPr>
              <w:t>f</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m</w:t>
            </w:r>
            <w:r w:rsidRPr="00F301E9">
              <w:rPr>
                <w:rFonts w:ascii="Arial" w:eastAsia="Arial" w:hAnsi="Arial" w:cs="Arial"/>
                <w:spacing w:val="1"/>
                <w:sz w:val="18"/>
                <w:szCs w:val="18"/>
                <w:lang w:val="es-ES"/>
              </w:rPr>
              <w:t>ac</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ó</w:t>
            </w:r>
            <w:r w:rsidRPr="00F301E9">
              <w:rPr>
                <w:rFonts w:ascii="Arial" w:eastAsia="Arial" w:hAnsi="Arial" w:cs="Arial"/>
                <w:sz w:val="18"/>
                <w:szCs w:val="18"/>
                <w:lang w:val="es-ES"/>
              </w:rPr>
              <w:t>n</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3</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456" w:right="454"/>
              <w:jc w:val="center"/>
              <w:rPr>
                <w:rFonts w:ascii="Arial" w:eastAsia="Arial" w:hAnsi="Arial" w:cs="Arial"/>
                <w:sz w:val="18"/>
                <w:szCs w:val="18"/>
                <w:lang w:val="es-ES"/>
              </w:rPr>
            </w:pPr>
            <w:r w:rsidRPr="00F301E9">
              <w:rPr>
                <w:rFonts w:ascii="Arial" w:eastAsia="Arial" w:hAnsi="Arial" w:cs="Arial"/>
                <w:spacing w:val="1"/>
                <w:sz w:val="18"/>
                <w:szCs w:val="18"/>
                <w:lang w:val="es-ES"/>
              </w:rPr>
              <w:t>33</w:t>
            </w:r>
            <w:r w:rsidRPr="00F301E9">
              <w:rPr>
                <w:rFonts w:ascii="Arial" w:eastAsia="Arial" w:hAnsi="Arial" w:cs="Arial"/>
                <w:sz w:val="18"/>
                <w:szCs w:val="18"/>
                <w:lang w:val="es-ES"/>
              </w:rPr>
              <w:t>.3</w:t>
            </w:r>
          </w:p>
        </w:tc>
      </w:tr>
      <w:tr w:rsidR="00F301E9" w:rsidRPr="00F301E9" w:rsidTr="005D0231">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1</w:t>
            </w:r>
            <w:r w:rsidRPr="00F301E9">
              <w:rPr>
                <w:rFonts w:ascii="Arial" w:eastAsia="Arial" w:hAnsi="Arial" w:cs="Arial"/>
                <w:sz w:val="18"/>
                <w:szCs w:val="18"/>
                <w:lang w:val="es-ES"/>
              </w:rPr>
              <w:t>.9</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O</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pacing w:val="-3"/>
                <w:sz w:val="18"/>
                <w:szCs w:val="18"/>
                <w:lang w:val="es-ES"/>
              </w:rPr>
              <w:t>M</w:t>
            </w:r>
            <w:r w:rsidRPr="00F301E9">
              <w:rPr>
                <w:rFonts w:ascii="Arial" w:eastAsia="Arial" w:hAnsi="Arial" w:cs="Arial"/>
                <w:spacing w:val="1"/>
                <w:sz w:val="18"/>
                <w:szCs w:val="18"/>
                <w:lang w:val="es-ES"/>
              </w:rPr>
              <w:t>obili</w:t>
            </w:r>
            <w:r w:rsidRPr="00F301E9">
              <w:rPr>
                <w:rFonts w:ascii="Arial" w:eastAsia="Arial" w:hAnsi="Arial" w:cs="Arial"/>
                <w:spacing w:val="2"/>
                <w:sz w:val="18"/>
                <w:szCs w:val="18"/>
                <w:lang w:val="es-ES"/>
              </w:rPr>
              <w:t>a</w:t>
            </w:r>
            <w:r w:rsidRPr="00F301E9">
              <w:rPr>
                <w:rFonts w:ascii="Arial" w:eastAsia="Arial" w:hAnsi="Arial" w:cs="Arial"/>
                <w:spacing w:val="-2"/>
                <w:sz w:val="18"/>
                <w:szCs w:val="18"/>
                <w:lang w:val="es-ES"/>
              </w:rPr>
              <w:t>r</w:t>
            </w:r>
            <w:r w:rsidRPr="00F301E9">
              <w:rPr>
                <w:rFonts w:ascii="Arial" w:eastAsia="Arial" w:hAnsi="Arial" w:cs="Arial"/>
                <w:spacing w:val="1"/>
                <w:sz w:val="18"/>
                <w:szCs w:val="18"/>
                <w:lang w:val="es-ES"/>
              </w:rPr>
              <w:t>io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q</w:t>
            </w:r>
            <w:r w:rsidRPr="00F301E9">
              <w:rPr>
                <w:rFonts w:ascii="Arial" w:eastAsia="Arial" w:hAnsi="Arial" w:cs="Arial"/>
                <w:spacing w:val="1"/>
                <w:sz w:val="18"/>
                <w:szCs w:val="18"/>
                <w:lang w:val="es-ES"/>
              </w:rPr>
              <w:t>ui</w:t>
            </w:r>
            <w:r w:rsidRPr="00F301E9">
              <w:rPr>
                <w:rFonts w:ascii="Arial" w:eastAsia="Arial" w:hAnsi="Arial" w:cs="Arial"/>
                <w:spacing w:val="-2"/>
                <w:sz w:val="18"/>
                <w:szCs w:val="18"/>
                <w:lang w:val="es-ES"/>
              </w:rPr>
              <w:t>p</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dm</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ni</w:t>
            </w:r>
            <w:r w:rsidRPr="00F301E9">
              <w:rPr>
                <w:rFonts w:ascii="Arial" w:eastAsia="Arial" w:hAnsi="Arial" w:cs="Arial"/>
                <w:spacing w:val="-1"/>
                <w:sz w:val="18"/>
                <w:szCs w:val="18"/>
                <w:lang w:val="es-ES"/>
              </w:rPr>
              <w:t>s</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a</w:t>
            </w:r>
            <w:r w:rsidRPr="00F301E9">
              <w:rPr>
                <w:rFonts w:ascii="Arial" w:eastAsia="Arial" w:hAnsi="Arial" w:cs="Arial"/>
                <w:spacing w:val="-1"/>
                <w:sz w:val="18"/>
                <w:szCs w:val="18"/>
                <w:lang w:val="es-ES"/>
              </w:rPr>
              <w:t>c</w:t>
            </w:r>
            <w:r w:rsidRPr="00F301E9">
              <w:rPr>
                <w:rFonts w:ascii="Arial" w:eastAsia="Arial" w:hAnsi="Arial" w:cs="Arial"/>
                <w:spacing w:val="1"/>
                <w:sz w:val="18"/>
                <w:szCs w:val="18"/>
                <w:lang w:val="es-ES"/>
              </w:rPr>
              <w:t>ió</w:t>
            </w:r>
            <w:r w:rsidRPr="00F301E9">
              <w:rPr>
                <w:rFonts w:ascii="Arial" w:eastAsia="Arial" w:hAnsi="Arial" w:cs="Arial"/>
                <w:sz w:val="18"/>
                <w:szCs w:val="18"/>
                <w:lang w:val="es-ES"/>
              </w:rPr>
              <w:t>n</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268" w:right="30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124"/>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pacing w:val="1"/>
                <w:sz w:val="18"/>
                <w:szCs w:val="18"/>
                <w:lang w:val="es-ES"/>
              </w:rPr>
            </w:pP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pacing w:val="-1"/>
                <w:sz w:val="18"/>
                <w:szCs w:val="18"/>
                <w:lang w:val="es-ES"/>
              </w:rPr>
            </w:pP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268" w:right="300"/>
              <w:jc w:val="center"/>
              <w:rPr>
                <w:rFonts w:ascii="Arial" w:eastAsia="Arial" w:hAnsi="Arial" w:cs="Arial"/>
                <w:spacing w:val="1"/>
                <w:sz w:val="18"/>
                <w:szCs w:val="18"/>
                <w:lang w:val="es-ES"/>
              </w:rPr>
            </w:pP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pacing w:val="1"/>
                <w:sz w:val="18"/>
                <w:szCs w:val="18"/>
                <w:lang w:val="es-ES"/>
              </w:rPr>
            </w:pP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1</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2</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4</w:t>
            </w:r>
            <w:r w:rsidRPr="00F301E9">
              <w:rPr>
                <w:rFonts w:ascii="Arial" w:eastAsia="Arial" w:hAnsi="Arial" w:cs="Arial"/>
                <w:b/>
                <w:spacing w:val="-2"/>
                <w:sz w:val="18"/>
                <w:szCs w:val="18"/>
                <w:lang w:val="es-ES"/>
              </w:rPr>
              <w:t>.</w:t>
            </w:r>
            <w:r w:rsidRPr="00F301E9">
              <w:rPr>
                <w:rFonts w:ascii="Arial" w:eastAsia="Arial" w:hAnsi="Arial" w:cs="Arial"/>
                <w:b/>
                <w:sz w:val="18"/>
                <w:szCs w:val="18"/>
                <w:lang w:val="es-ES"/>
              </w:rPr>
              <w:t>2</w:t>
            </w:r>
          </w:p>
        </w:tc>
        <w:tc>
          <w:tcPr>
            <w:tcW w:w="7930" w:type="dxa"/>
            <w:gridSpan w:val="8"/>
            <w:tcBorders>
              <w:top w:val="nil"/>
              <w:left w:val="single" w:sz="7" w:space="0" w:color="000000"/>
              <w:bottom w:val="nil"/>
              <w:right w:val="single" w:sz="7" w:space="0" w:color="000000"/>
            </w:tcBorders>
          </w:tcPr>
          <w:p w:rsidR="00F301E9" w:rsidRPr="00F301E9" w:rsidRDefault="00F301E9" w:rsidP="00F301E9">
            <w:pPr>
              <w:spacing w:before="30"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M</w:t>
            </w:r>
            <w:r w:rsidRPr="00F301E9">
              <w:rPr>
                <w:rFonts w:ascii="Arial" w:eastAsia="Arial" w:hAnsi="Arial" w:cs="Arial"/>
                <w:b/>
                <w:sz w:val="18"/>
                <w:szCs w:val="18"/>
                <w:lang w:val="es-ES"/>
              </w:rPr>
              <w:t>o</w:t>
            </w:r>
            <w:r w:rsidRPr="00F301E9">
              <w:rPr>
                <w:rFonts w:ascii="Arial" w:eastAsia="Arial" w:hAnsi="Arial" w:cs="Arial"/>
                <w:b/>
                <w:spacing w:val="1"/>
                <w:sz w:val="18"/>
                <w:szCs w:val="18"/>
                <w:lang w:val="es-ES"/>
              </w:rPr>
              <w:t>b</w:t>
            </w:r>
            <w:r w:rsidRPr="00F301E9">
              <w:rPr>
                <w:rFonts w:ascii="Arial" w:eastAsia="Arial" w:hAnsi="Arial" w:cs="Arial"/>
                <w:b/>
                <w:sz w:val="18"/>
                <w:szCs w:val="18"/>
                <w:lang w:val="es-ES"/>
              </w:rPr>
              <w:t>i</w:t>
            </w:r>
            <w:r w:rsidRPr="00F301E9">
              <w:rPr>
                <w:rFonts w:ascii="Arial" w:eastAsia="Arial" w:hAnsi="Arial" w:cs="Arial"/>
                <w:b/>
                <w:spacing w:val="1"/>
                <w:sz w:val="18"/>
                <w:szCs w:val="18"/>
                <w:lang w:val="es-ES"/>
              </w:rPr>
              <w:t>l</w:t>
            </w:r>
            <w:r w:rsidRPr="00F301E9">
              <w:rPr>
                <w:rFonts w:ascii="Arial" w:eastAsia="Arial" w:hAnsi="Arial" w:cs="Arial"/>
                <w:b/>
                <w:spacing w:val="-2"/>
                <w:sz w:val="18"/>
                <w:szCs w:val="18"/>
                <w:lang w:val="es-ES"/>
              </w:rPr>
              <w:t>i</w:t>
            </w:r>
            <w:r w:rsidRPr="00F301E9">
              <w:rPr>
                <w:rFonts w:ascii="Arial" w:eastAsia="Arial" w:hAnsi="Arial" w:cs="Arial"/>
                <w:b/>
                <w:spacing w:val="1"/>
                <w:sz w:val="18"/>
                <w:szCs w:val="18"/>
                <w:lang w:val="es-ES"/>
              </w:rPr>
              <w:t>a</w:t>
            </w:r>
            <w:r w:rsidRPr="00F301E9">
              <w:rPr>
                <w:rFonts w:ascii="Arial" w:eastAsia="Arial" w:hAnsi="Arial" w:cs="Arial"/>
                <w:b/>
                <w:sz w:val="18"/>
                <w:szCs w:val="18"/>
                <w:lang w:val="es-ES"/>
              </w:rPr>
              <w:t>rio</w:t>
            </w:r>
            <w:r w:rsidRPr="00F301E9">
              <w:rPr>
                <w:rFonts w:ascii="Arial" w:eastAsia="Arial" w:hAnsi="Arial" w:cs="Arial"/>
                <w:b/>
                <w:spacing w:val="3"/>
                <w:sz w:val="18"/>
                <w:szCs w:val="18"/>
                <w:lang w:val="es-ES"/>
              </w:rPr>
              <w:t xml:space="preserve"> </w:t>
            </w:r>
            <w:r w:rsidRPr="00F301E9">
              <w:rPr>
                <w:rFonts w:ascii="Arial" w:eastAsia="Arial" w:hAnsi="Arial" w:cs="Arial"/>
                <w:b/>
                <w:sz w:val="18"/>
                <w:szCs w:val="18"/>
                <w:lang w:val="es-ES"/>
              </w:rPr>
              <w:t>y</w:t>
            </w:r>
            <w:r w:rsidRPr="00F301E9">
              <w:rPr>
                <w:rFonts w:ascii="Arial" w:eastAsia="Arial" w:hAnsi="Arial" w:cs="Arial"/>
                <w:b/>
                <w:spacing w:val="-6"/>
                <w:sz w:val="18"/>
                <w:szCs w:val="18"/>
                <w:lang w:val="es-ES"/>
              </w:rPr>
              <w:t xml:space="preserve"> </w:t>
            </w:r>
            <w:r w:rsidRPr="00F301E9">
              <w:rPr>
                <w:rFonts w:ascii="Arial" w:eastAsia="Arial" w:hAnsi="Arial" w:cs="Arial"/>
                <w:b/>
                <w:sz w:val="18"/>
                <w:szCs w:val="18"/>
                <w:lang w:val="es-ES"/>
              </w:rPr>
              <w:t>E</w:t>
            </w:r>
            <w:r w:rsidRPr="00F301E9">
              <w:rPr>
                <w:rFonts w:ascii="Arial" w:eastAsia="Arial" w:hAnsi="Arial" w:cs="Arial"/>
                <w:b/>
                <w:spacing w:val="1"/>
                <w:sz w:val="18"/>
                <w:szCs w:val="18"/>
                <w:lang w:val="es-ES"/>
              </w:rPr>
              <w:t>q</w:t>
            </w:r>
            <w:r w:rsidRPr="00F301E9">
              <w:rPr>
                <w:rFonts w:ascii="Arial" w:eastAsia="Arial" w:hAnsi="Arial" w:cs="Arial"/>
                <w:b/>
                <w:sz w:val="18"/>
                <w:szCs w:val="18"/>
                <w:lang w:val="es-ES"/>
              </w:rPr>
              <w:t>u</w:t>
            </w:r>
            <w:r w:rsidRPr="00F301E9">
              <w:rPr>
                <w:rFonts w:ascii="Arial" w:eastAsia="Arial" w:hAnsi="Arial" w:cs="Arial"/>
                <w:b/>
                <w:spacing w:val="1"/>
                <w:sz w:val="18"/>
                <w:szCs w:val="18"/>
                <w:lang w:val="es-ES"/>
              </w:rPr>
              <w:t>i</w:t>
            </w:r>
            <w:r w:rsidRPr="00F301E9">
              <w:rPr>
                <w:rFonts w:ascii="Arial" w:eastAsia="Arial" w:hAnsi="Arial" w:cs="Arial"/>
                <w:b/>
                <w:sz w:val="18"/>
                <w:szCs w:val="18"/>
                <w:lang w:val="es-ES"/>
              </w:rPr>
              <w:t>po</w:t>
            </w:r>
            <w:r w:rsidRPr="00F301E9">
              <w:rPr>
                <w:rFonts w:ascii="Arial" w:eastAsia="Arial" w:hAnsi="Arial" w:cs="Arial"/>
                <w:b/>
                <w:spacing w:val="1"/>
                <w:sz w:val="18"/>
                <w:szCs w:val="18"/>
                <w:lang w:val="es-ES"/>
              </w:rPr>
              <w:t xml:space="preserve"> </w:t>
            </w:r>
            <w:r w:rsidRPr="00F301E9">
              <w:rPr>
                <w:rFonts w:ascii="Arial" w:eastAsia="Arial" w:hAnsi="Arial" w:cs="Arial"/>
                <w:b/>
                <w:sz w:val="18"/>
                <w:szCs w:val="18"/>
                <w:lang w:val="es-ES"/>
              </w:rPr>
              <w:t>E</w:t>
            </w:r>
            <w:r w:rsidRPr="00F301E9">
              <w:rPr>
                <w:rFonts w:ascii="Arial" w:eastAsia="Arial" w:hAnsi="Arial" w:cs="Arial"/>
                <w:b/>
                <w:spacing w:val="1"/>
                <w:sz w:val="18"/>
                <w:szCs w:val="18"/>
                <w:lang w:val="es-ES"/>
              </w:rPr>
              <w:t>d</w:t>
            </w:r>
            <w:r w:rsidRPr="00F301E9">
              <w:rPr>
                <w:rFonts w:ascii="Arial" w:eastAsia="Arial" w:hAnsi="Arial" w:cs="Arial"/>
                <w:b/>
                <w:sz w:val="18"/>
                <w:szCs w:val="18"/>
                <w:lang w:val="es-ES"/>
              </w:rPr>
              <w:t>u</w:t>
            </w:r>
            <w:r w:rsidRPr="00F301E9">
              <w:rPr>
                <w:rFonts w:ascii="Arial" w:eastAsia="Arial" w:hAnsi="Arial" w:cs="Arial"/>
                <w:b/>
                <w:spacing w:val="1"/>
                <w:sz w:val="18"/>
                <w:szCs w:val="18"/>
                <w:lang w:val="es-ES"/>
              </w:rPr>
              <w:t>c</w:t>
            </w:r>
            <w:r w:rsidRPr="00F301E9">
              <w:rPr>
                <w:rFonts w:ascii="Arial" w:eastAsia="Arial" w:hAnsi="Arial" w:cs="Arial"/>
                <w:b/>
                <w:spacing w:val="-2"/>
                <w:sz w:val="18"/>
                <w:szCs w:val="18"/>
                <w:lang w:val="es-ES"/>
              </w:rPr>
              <w:t>a</w:t>
            </w:r>
            <w:r w:rsidRPr="00F301E9">
              <w:rPr>
                <w:rFonts w:ascii="Arial" w:eastAsia="Arial" w:hAnsi="Arial" w:cs="Arial"/>
                <w:b/>
                <w:spacing w:val="1"/>
                <w:sz w:val="18"/>
                <w:szCs w:val="18"/>
                <w:lang w:val="es-ES"/>
              </w:rPr>
              <w:t>c</w:t>
            </w:r>
            <w:r w:rsidRPr="00F301E9">
              <w:rPr>
                <w:rFonts w:ascii="Arial" w:eastAsia="Arial" w:hAnsi="Arial" w:cs="Arial"/>
                <w:b/>
                <w:spacing w:val="-2"/>
                <w:sz w:val="18"/>
                <w:szCs w:val="18"/>
                <w:lang w:val="es-ES"/>
              </w:rPr>
              <w:t>i</w:t>
            </w:r>
            <w:r w:rsidRPr="00F301E9">
              <w:rPr>
                <w:rFonts w:ascii="Arial" w:eastAsia="Arial" w:hAnsi="Arial" w:cs="Arial"/>
                <w:b/>
                <w:sz w:val="18"/>
                <w:szCs w:val="18"/>
                <w:lang w:val="es-ES"/>
              </w:rPr>
              <w:t>o</w:t>
            </w:r>
            <w:r w:rsidRPr="00F301E9">
              <w:rPr>
                <w:rFonts w:ascii="Arial" w:eastAsia="Arial" w:hAnsi="Arial" w:cs="Arial"/>
                <w:b/>
                <w:spacing w:val="1"/>
                <w:sz w:val="18"/>
                <w:szCs w:val="18"/>
                <w:lang w:val="es-ES"/>
              </w:rPr>
              <w:t>na</w:t>
            </w:r>
            <w:r w:rsidRPr="00F301E9">
              <w:rPr>
                <w:rFonts w:ascii="Arial" w:eastAsia="Arial" w:hAnsi="Arial" w:cs="Arial"/>
                <w:b/>
                <w:sz w:val="18"/>
                <w:szCs w:val="18"/>
                <w:lang w:val="es-ES"/>
              </w:rPr>
              <w:t>l</w:t>
            </w:r>
            <w:r w:rsidRPr="00F301E9">
              <w:rPr>
                <w:rFonts w:ascii="Arial" w:eastAsia="Arial" w:hAnsi="Arial" w:cs="Arial"/>
                <w:b/>
                <w:spacing w:val="3"/>
                <w:sz w:val="18"/>
                <w:szCs w:val="18"/>
                <w:lang w:val="es-ES"/>
              </w:rPr>
              <w:t xml:space="preserve"> </w:t>
            </w:r>
            <w:r w:rsidRPr="00F301E9">
              <w:rPr>
                <w:rFonts w:ascii="Arial" w:eastAsia="Arial" w:hAnsi="Arial" w:cs="Arial"/>
                <w:b/>
                <w:sz w:val="18"/>
                <w:szCs w:val="18"/>
                <w:lang w:val="es-ES"/>
              </w:rPr>
              <w:t>y</w:t>
            </w:r>
            <w:r w:rsidRPr="00F301E9">
              <w:rPr>
                <w:rFonts w:ascii="Arial" w:eastAsia="Arial" w:hAnsi="Arial" w:cs="Arial"/>
                <w:b/>
                <w:spacing w:val="-6"/>
                <w:sz w:val="18"/>
                <w:szCs w:val="18"/>
                <w:lang w:val="es-ES"/>
              </w:rPr>
              <w:t xml:space="preserve"> </w:t>
            </w:r>
            <w:r w:rsidRPr="00F301E9">
              <w:rPr>
                <w:rFonts w:ascii="Arial" w:eastAsia="Arial" w:hAnsi="Arial" w:cs="Arial"/>
                <w:b/>
                <w:sz w:val="18"/>
                <w:szCs w:val="18"/>
                <w:lang w:val="es-ES"/>
              </w:rPr>
              <w:t>R</w:t>
            </w:r>
            <w:r w:rsidRPr="00F301E9">
              <w:rPr>
                <w:rFonts w:ascii="Arial" w:eastAsia="Arial" w:hAnsi="Arial" w:cs="Arial"/>
                <w:b/>
                <w:spacing w:val="1"/>
                <w:sz w:val="18"/>
                <w:szCs w:val="18"/>
                <w:lang w:val="es-ES"/>
              </w:rPr>
              <w:t>ec</w:t>
            </w:r>
            <w:r w:rsidRPr="00F301E9">
              <w:rPr>
                <w:rFonts w:ascii="Arial" w:eastAsia="Arial" w:hAnsi="Arial" w:cs="Arial"/>
                <w:b/>
                <w:sz w:val="18"/>
                <w:szCs w:val="18"/>
                <w:lang w:val="es-ES"/>
              </w:rPr>
              <w:t>re</w:t>
            </w:r>
            <w:r w:rsidRPr="00F301E9">
              <w:rPr>
                <w:rFonts w:ascii="Arial" w:eastAsia="Arial" w:hAnsi="Arial" w:cs="Arial"/>
                <w:b/>
                <w:spacing w:val="1"/>
                <w:sz w:val="18"/>
                <w:szCs w:val="18"/>
                <w:lang w:val="es-ES"/>
              </w:rPr>
              <w:t>a</w:t>
            </w:r>
            <w:r w:rsidRPr="00F301E9">
              <w:rPr>
                <w:rFonts w:ascii="Arial" w:eastAsia="Arial" w:hAnsi="Arial" w:cs="Arial"/>
                <w:b/>
                <w:sz w:val="18"/>
                <w:szCs w:val="18"/>
                <w:lang w:val="es-ES"/>
              </w:rPr>
              <w:t>ti</w:t>
            </w:r>
            <w:r w:rsidRPr="00F301E9">
              <w:rPr>
                <w:rFonts w:ascii="Arial" w:eastAsia="Arial" w:hAnsi="Arial" w:cs="Arial"/>
                <w:b/>
                <w:spacing w:val="-1"/>
                <w:sz w:val="18"/>
                <w:szCs w:val="18"/>
                <w:lang w:val="es-ES"/>
              </w:rPr>
              <w:t>v</w:t>
            </w:r>
            <w:r w:rsidRPr="00F301E9">
              <w:rPr>
                <w:rFonts w:ascii="Arial" w:eastAsia="Arial" w:hAnsi="Arial" w:cs="Arial"/>
                <w:b/>
                <w:sz w:val="18"/>
                <w:szCs w:val="18"/>
                <w:lang w:val="es-ES"/>
              </w:rPr>
              <w:t>o</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w:t>
            </w:r>
            <w:r w:rsidRPr="00F301E9">
              <w:rPr>
                <w:rFonts w:ascii="Arial" w:eastAsia="Arial" w:hAnsi="Arial" w:cs="Arial"/>
                <w:spacing w:val="1"/>
                <w:sz w:val="18"/>
                <w:szCs w:val="18"/>
                <w:lang w:val="es-ES"/>
              </w:rPr>
              <w:t>quip</w:t>
            </w:r>
            <w:r w:rsidRPr="00F301E9">
              <w:rPr>
                <w:rFonts w:ascii="Arial" w:eastAsia="Arial" w:hAnsi="Arial" w:cs="Arial"/>
                <w:spacing w:val="-2"/>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pa</w:t>
            </w:r>
            <w:r w:rsidRPr="00F301E9">
              <w:rPr>
                <w:rFonts w:ascii="Arial" w:eastAsia="Arial" w:hAnsi="Arial" w:cs="Arial"/>
                <w:spacing w:val="-2"/>
                <w:sz w:val="18"/>
                <w:szCs w:val="18"/>
                <w:lang w:val="es-ES"/>
              </w:rPr>
              <w:t>r</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u</w:t>
            </w:r>
            <w:r w:rsidRPr="00F301E9">
              <w:rPr>
                <w:rFonts w:ascii="Arial" w:eastAsia="Arial" w:hAnsi="Arial" w:cs="Arial"/>
                <w:spacing w:val="-2"/>
                <w:sz w:val="18"/>
                <w:szCs w:val="18"/>
                <w:lang w:val="es-ES"/>
              </w:rPr>
              <w:t>d</w:t>
            </w:r>
            <w:r w:rsidRPr="00F301E9">
              <w:rPr>
                <w:rFonts w:ascii="Arial" w:eastAsia="Arial" w:hAnsi="Arial" w:cs="Arial"/>
                <w:spacing w:val="1"/>
                <w:sz w:val="18"/>
                <w:szCs w:val="18"/>
                <w:lang w:val="es-ES"/>
              </w:rPr>
              <w:t>io</w:t>
            </w:r>
            <w:r w:rsidRPr="00F301E9">
              <w:rPr>
                <w:rFonts w:ascii="Arial" w:eastAsia="Arial" w:hAnsi="Arial" w:cs="Arial"/>
                <w:spacing w:val="-1"/>
                <w:sz w:val="18"/>
                <w:szCs w:val="18"/>
                <w:lang w:val="es-ES"/>
              </w:rPr>
              <w:t>v</w:t>
            </w:r>
            <w:r w:rsidRPr="00F301E9">
              <w:rPr>
                <w:rFonts w:ascii="Arial" w:eastAsia="Arial" w:hAnsi="Arial" w:cs="Arial"/>
                <w:spacing w:val="1"/>
                <w:sz w:val="18"/>
                <w:szCs w:val="18"/>
                <w:lang w:val="es-ES"/>
              </w:rPr>
              <w:t>is</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ale</w:t>
            </w:r>
            <w:r w:rsidRPr="00F301E9">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3</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456" w:right="454"/>
              <w:jc w:val="center"/>
              <w:rPr>
                <w:rFonts w:ascii="Arial" w:eastAsia="Arial" w:hAnsi="Arial" w:cs="Arial"/>
                <w:sz w:val="18"/>
                <w:szCs w:val="18"/>
                <w:lang w:val="es-ES"/>
              </w:rPr>
            </w:pPr>
            <w:r w:rsidRPr="00F301E9">
              <w:rPr>
                <w:rFonts w:ascii="Arial" w:eastAsia="Arial" w:hAnsi="Arial" w:cs="Arial"/>
                <w:spacing w:val="1"/>
                <w:sz w:val="18"/>
                <w:szCs w:val="18"/>
                <w:lang w:val="es-ES"/>
              </w:rPr>
              <w:t>33</w:t>
            </w:r>
            <w:r w:rsidRPr="00F301E9">
              <w:rPr>
                <w:rFonts w:ascii="Arial" w:eastAsia="Arial" w:hAnsi="Arial" w:cs="Arial"/>
                <w:sz w:val="18"/>
                <w:szCs w:val="18"/>
                <w:lang w:val="es-ES"/>
              </w:rPr>
              <w:t>.3</w:t>
            </w:r>
          </w:p>
        </w:tc>
      </w:tr>
      <w:tr w:rsidR="00F301E9" w:rsidRPr="00F301E9" w:rsidTr="005D0231">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A</w:t>
            </w:r>
            <w:r w:rsidRPr="00F301E9">
              <w:rPr>
                <w:rFonts w:ascii="Arial" w:eastAsia="Arial" w:hAnsi="Arial" w:cs="Arial"/>
                <w:spacing w:val="1"/>
                <w:sz w:val="18"/>
                <w:szCs w:val="18"/>
                <w:lang w:val="es-ES"/>
              </w:rPr>
              <w:t>pa</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D</w:t>
            </w:r>
            <w:r w:rsidRPr="00F301E9">
              <w:rPr>
                <w:rFonts w:ascii="Arial" w:eastAsia="Arial" w:hAnsi="Arial" w:cs="Arial"/>
                <w:spacing w:val="1"/>
                <w:sz w:val="18"/>
                <w:szCs w:val="18"/>
                <w:lang w:val="es-ES"/>
              </w:rPr>
              <w:t>e</w:t>
            </w:r>
            <w:r w:rsidRPr="00F301E9">
              <w:rPr>
                <w:rFonts w:ascii="Arial" w:eastAsia="Arial" w:hAnsi="Arial" w:cs="Arial"/>
                <w:spacing w:val="-2"/>
                <w:sz w:val="18"/>
                <w:szCs w:val="18"/>
                <w:lang w:val="es-ES"/>
              </w:rPr>
              <w:t>p</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rt</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v</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.3</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Cá</w:t>
            </w:r>
            <w:r w:rsidRPr="00F301E9">
              <w:rPr>
                <w:rFonts w:ascii="Arial" w:eastAsia="Arial" w:hAnsi="Arial" w:cs="Arial"/>
                <w:spacing w:val="1"/>
                <w:sz w:val="18"/>
                <w:szCs w:val="18"/>
                <w:lang w:val="es-ES"/>
              </w:rPr>
              <w:t>ma</w:t>
            </w:r>
            <w:r w:rsidRPr="00F301E9">
              <w:rPr>
                <w:rFonts w:ascii="Arial" w:eastAsia="Arial" w:hAnsi="Arial" w:cs="Arial"/>
                <w:sz w:val="18"/>
                <w:szCs w:val="18"/>
                <w:lang w:val="es-ES"/>
              </w:rPr>
              <w:t>r</w:t>
            </w:r>
            <w:r w:rsidRPr="00F301E9">
              <w:rPr>
                <w:rFonts w:ascii="Arial" w:eastAsia="Arial" w:hAnsi="Arial" w:cs="Arial"/>
                <w:spacing w:val="-2"/>
                <w:sz w:val="18"/>
                <w:szCs w:val="18"/>
                <w:lang w:val="es-ES"/>
              </w:rPr>
              <w:t>a</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F</w:t>
            </w:r>
            <w:r w:rsidRPr="00F301E9">
              <w:rPr>
                <w:rFonts w:ascii="Arial" w:eastAsia="Arial" w:hAnsi="Arial" w:cs="Arial"/>
                <w:spacing w:val="-2"/>
                <w:sz w:val="18"/>
                <w:szCs w:val="18"/>
                <w:lang w:val="es-ES"/>
              </w:rPr>
              <w:t>o</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og</w:t>
            </w:r>
            <w:r w:rsidRPr="00F301E9">
              <w:rPr>
                <w:rFonts w:ascii="Arial" w:eastAsia="Arial" w:hAnsi="Arial" w:cs="Arial"/>
                <w:sz w:val="18"/>
                <w:szCs w:val="18"/>
                <w:lang w:val="es-ES"/>
              </w:rPr>
              <w:t>r</w:t>
            </w:r>
            <w:r w:rsidRPr="00F301E9">
              <w:rPr>
                <w:rFonts w:ascii="Arial" w:eastAsia="Arial" w:hAnsi="Arial" w:cs="Arial"/>
                <w:spacing w:val="-2"/>
                <w:sz w:val="18"/>
                <w:szCs w:val="18"/>
                <w:lang w:val="es-ES"/>
              </w:rPr>
              <w:t>á</w:t>
            </w:r>
            <w:r w:rsidRPr="00F301E9">
              <w:rPr>
                <w:rFonts w:ascii="Arial" w:eastAsia="Arial" w:hAnsi="Arial" w:cs="Arial"/>
                <w:sz w:val="18"/>
                <w:szCs w:val="18"/>
                <w:lang w:val="es-ES"/>
              </w:rPr>
              <w:t>f</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c</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V</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de</w:t>
            </w:r>
            <w:r w:rsidRPr="00F301E9">
              <w:rPr>
                <w:rFonts w:ascii="Arial" w:eastAsia="Arial" w:hAnsi="Arial" w:cs="Arial"/>
                <w:sz w:val="18"/>
                <w:szCs w:val="18"/>
                <w:lang w:val="es-ES"/>
              </w:rPr>
              <w:t>o</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3</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456" w:right="454"/>
              <w:jc w:val="center"/>
              <w:rPr>
                <w:rFonts w:ascii="Arial" w:eastAsia="Arial" w:hAnsi="Arial" w:cs="Arial"/>
                <w:sz w:val="18"/>
                <w:szCs w:val="18"/>
                <w:lang w:val="es-ES"/>
              </w:rPr>
            </w:pPr>
            <w:r w:rsidRPr="00F301E9">
              <w:rPr>
                <w:rFonts w:ascii="Arial" w:eastAsia="Arial" w:hAnsi="Arial" w:cs="Arial"/>
                <w:spacing w:val="1"/>
                <w:sz w:val="18"/>
                <w:szCs w:val="18"/>
                <w:lang w:val="es-ES"/>
              </w:rPr>
              <w:t>33</w:t>
            </w:r>
            <w:r w:rsidRPr="00F301E9">
              <w:rPr>
                <w:rFonts w:ascii="Arial" w:eastAsia="Arial" w:hAnsi="Arial" w:cs="Arial"/>
                <w:sz w:val="18"/>
                <w:szCs w:val="18"/>
                <w:lang w:val="es-ES"/>
              </w:rPr>
              <w:t>.3</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.9</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O</w:t>
            </w:r>
            <w:r w:rsidRPr="00F301E9">
              <w:rPr>
                <w:rFonts w:ascii="Arial" w:eastAsia="Arial" w:hAnsi="Arial" w:cs="Arial"/>
                <w:sz w:val="18"/>
                <w:szCs w:val="18"/>
                <w:lang w:val="es-ES"/>
              </w:rPr>
              <w:t>tro</w:t>
            </w:r>
            <w:r w:rsidRPr="00F301E9">
              <w:rPr>
                <w:rFonts w:ascii="Arial" w:eastAsia="Arial" w:hAnsi="Arial" w:cs="Arial"/>
                <w:spacing w:val="1"/>
                <w:sz w:val="18"/>
                <w:szCs w:val="18"/>
                <w:lang w:val="es-ES"/>
              </w:rPr>
              <w:t xml:space="preserve"> </w:t>
            </w:r>
            <w:r w:rsidRPr="00F301E9">
              <w:rPr>
                <w:rFonts w:ascii="Arial" w:eastAsia="Arial" w:hAnsi="Arial" w:cs="Arial"/>
                <w:spacing w:val="-3"/>
                <w:sz w:val="18"/>
                <w:szCs w:val="18"/>
                <w:lang w:val="es-ES"/>
              </w:rPr>
              <w:t>M</w:t>
            </w:r>
            <w:r w:rsidRPr="00F301E9">
              <w:rPr>
                <w:rFonts w:ascii="Arial" w:eastAsia="Arial" w:hAnsi="Arial" w:cs="Arial"/>
                <w:spacing w:val="1"/>
                <w:sz w:val="18"/>
                <w:szCs w:val="18"/>
                <w:lang w:val="es-ES"/>
              </w:rPr>
              <w:t>obilia</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i</w:t>
            </w:r>
            <w:r w:rsidRPr="00F301E9">
              <w:rPr>
                <w:rFonts w:ascii="Arial" w:eastAsia="Arial" w:hAnsi="Arial" w:cs="Arial"/>
                <w:sz w:val="18"/>
                <w:szCs w:val="18"/>
                <w:lang w:val="es-ES"/>
              </w:rPr>
              <w:t>o</w:t>
            </w:r>
            <w:r w:rsidRPr="00F301E9">
              <w:rPr>
                <w:rFonts w:ascii="Arial" w:eastAsia="Arial" w:hAnsi="Arial" w:cs="Arial"/>
                <w:spacing w:val="3"/>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q</w:t>
            </w:r>
            <w:r w:rsidRPr="00F301E9">
              <w:rPr>
                <w:rFonts w:ascii="Arial" w:eastAsia="Arial" w:hAnsi="Arial" w:cs="Arial"/>
                <w:spacing w:val="1"/>
                <w:sz w:val="18"/>
                <w:szCs w:val="18"/>
                <w:lang w:val="es-ES"/>
              </w:rPr>
              <w:t>ui</w:t>
            </w:r>
            <w:r w:rsidRPr="00F301E9">
              <w:rPr>
                <w:rFonts w:ascii="Arial" w:eastAsia="Arial" w:hAnsi="Arial" w:cs="Arial"/>
                <w:spacing w:val="-2"/>
                <w:sz w:val="18"/>
                <w:szCs w:val="18"/>
                <w:lang w:val="es-ES"/>
              </w:rPr>
              <w:t>p</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d</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c</w:t>
            </w:r>
            <w:r w:rsidRPr="00F301E9">
              <w:rPr>
                <w:rFonts w:ascii="Arial" w:eastAsia="Arial" w:hAnsi="Arial" w:cs="Arial"/>
                <w:spacing w:val="1"/>
                <w:sz w:val="18"/>
                <w:szCs w:val="18"/>
                <w:lang w:val="es-ES"/>
              </w:rPr>
              <w:t>aci</w:t>
            </w:r>
            <w:r w:rsidRPr="00F301E9">
              <w:rPr>
                <w:rFonts w:ascii="Arial" w:eastAsia="Arial" w:hAnsi="Arial" w:cs="Arial"/>
                <w:spacing w:val="-2"/>
                <w:sz w:val="18"/>
                <w:szCs w:val="18"/>
                <w:lang w:val="es-ES"/>
              </w:rPr>
              <w:t>o</w:t>
            </w:r>
            <w:r w:rsidRPr="00F301E9">
              <w:rPr>
                <w:rFonts w:ascii="Arial" w:eastAsia="Arial" w:hAnsi="Arial" w:cs="Arial"/>
                <w:spacing w:val="1"/>
                <w:sz w:val="18"/>
                <w:szCs w:val="18"/>
                <w:lang w:val="es-ES"/>
              </w:rPr>
              <w:t>na</w:t>
            </w:r>
            <w:r w:rsidRPr="00F301E9">
              <w:rPr>
                <w:rFonts w:ascii="Arial" w:eastAsia="Arial" w:hAnsi="Arial" w:cs="Arial"/>
                <w:sz w:val="18"/>
                <w:szCs w:val="18"/>
                <w:lang w:val="es-ES"/>
              </w:rPr>
              <w:t>l</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R</w:t>
            </w:r>
            <w:r w:rsidRPr="00F301E9">
              <w:rPr>
                <w:rFonts w:ascii="Arial" w:eastAsia="Arial" w:hAnsi="Arial" w:cs="Arial"/>
                <w:spacing w:val="-2"/>
                <w:sz w:val="18"/>
                <w:szCs w:val="18"/>
                <w:lang w:val="es-ES"/>
              </w:rPr>
              <w:t>e</w:t>
            </w:r>
            <w:r w:rsidRPr="00F301E9">
              <w:rPr>
                <w:rFonts w:ascii="Arial" w:eastAsia="Arial" w:hAnsi="Arial" w:cs="Arial"/>
                <w:spacing w:val="1"/>
                <w:sz w:val="18"/>
                <w:szCs w:val="18"/>
                <w:lang w:val="es-ES"/>
              </w:rPr>
              <w:t>c</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ea</w:t>
            </w:r>
            <w:r w:rsidRPr="00F301E9">
              <w:rPr>
                <w:rFonts w:ascii="Arial" w:eastAsia="Arial" w:hAnsi="Arial" w:cs="Arial"/>
                <w:spacing w:val="-2"/>
                <w:sz w:val="18"/>
                <w:szCs w:val="18"/>
                <w:lang w:val="es-ES"/>
              </w:rPr>
              <w:t>t</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v</w:t>
            </w:r>
            <w:r w:rsidRPr="00F301E9">
              <w:rPr>
                <w:rFonts w:ascii="Arial" w:eastAsia="Arial" w:hAnsi="Arial" w:cs="Arial"/>
                <w:sz w:val="18"/>
                <w:szCs w:val="18"/>
                <w:lang w:val="es-ES"/>
              </w:rPr>
              <w:t>o</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141"/>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pacing w:val="1"/>
                <w:sz w:val="18"/>
                <w:szCs w:val="18"/>
                <w:lang w:val="es-ES"/>
              </w:rPr>
            </w:pP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pacing w:val="-1"/>
                <w:sz w:val="18"/>
                <w:szCs w:val="18"/>
                <w:lang w:val="es-ES"/>
              </w:rPr>
            </w:pP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pacing w:val="1"/>
                <w:sz w:val="18"/>
                <w:szCs w:val="18"/>
                <w:lang w:val="es-ES"/>
              </w:rPr>
            </w:pP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1</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2</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4</w:t>
            </w:r>
            <w:r w:rsidRPr="00F301E9">
              <w:rPr>
                <w:rFonts w:ascii="Arial" w:eastAsia="Arial" w:hAnsi="Arial" w:cs="Arial"/>
                <w:b/>
                <w:spacing w:val="-2"/>
                <w:sz w:val="18"/>
                <w:szCs w:val="18"/>
                <w:lang w:val="es-ES"/>
              </w:rPr>
              <w:t>.</w:t>
            </w:r>
            <w:r w:rsidRPr="00F301E9">
              <w:rPr>
                <w:rFonts w:ascii="Arial" w:eastAsia="Arial" w:hAnsi="Arial" w:cs="Arial"/>
                <w:b/>
                <w:sz w:val="18"/>
                <w:szCs w:val="18"/>
                <w:lang w:val="es-ES"/>
              </w:rPr>
              <w:t>3</w:t>
            </w:r>
          </w:p>
        </w:tc>
        <w:tc>
          <w:tcPr>
            <w:tcW w:w="7930" w:type="dxa"/>
            <w:gridSpan w:val="8"/>
            <w:tcBorders>
              <w:top w:val="single" w:sz="7" w:space="0" w:color="000000"/>
              <w:left w:val="single" w:sz="7" w:space="0" w:color="000000"/>
              <w:bottom w:val="nil"/>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z w:val="18"/>
                <w:szCs w:val="18"/>
                <w:lang w:val="es-ES"/>
              </w:rPr>
              <w:t>Eq</w:t>
            </w:r>
            <w:r w:rsidRPr="00F301E9">
              <w:rPr>
                <w:rFonts w:ascii="Arial" w:eastAsia="Arial" w:hAnsi="Arial" w:cs="Arial"/>
                <w:b/>
                <w:spacing w:val="1"/>
                <w:sz w:val="18"/>
                <w:szCs w:val="18"/>
                <w:lang w:val="es-ES"/>
              </w:rPr>
              <w:t>u</w:t>
            </w:r>
            <w:r w:rsidRPr="00F301E9">
              <w:rPr>
                <w:rFonts w:ascii="Arial" w:eastAsia="Arial" w:hAnsi="Arial" w:cs="Arial"/>
                <w:b/>
                <w:sz w:val="18"/>
                <w:szCs w:val="18"/>
                <w:lang w:val="es-ES"/>
              </w:rPr>
              <w:t>i</w:t>
            </w:r>
            <w:r w:rsidRPr="00F301E9">
              <w:rPr>
                <w:rFonts w:ascii="Arial" w:eastAsia="Arial" w:hAnsi="Arial" w:cs="Arial"/>
                <w:b/>
                <w:spacing w:val="1"/>
                <w:sz w:val="18"/>
                <w:szCs w:val="18"/>
                <w:lang w:val="es-ES"/>
              </w:rPr>
              <w:t>p</w:t>
            </w:r>
            <w:r w:rsidRPr="00F301E9">
              <w:rPr>
                <w:rFonts w:ascii="Arial" w:eastAsia="Arial" w:hAnsi="Arial" w:cs="Arial"/>
                <w:b/>
                <w:sz w:val="18"/>
                <w:szCs w:val="18"/>
                <w:lang w:val="es-ES"/>
              </w:rPr>
              <w:t>o</w:t>
            </w:r>
            <w:r w:rsidRPr="00F301E9">
              <w:rPr>
                <w:rFonts w:ascii="Arial" w:eastAsia="Arial" w:hAnsi="Arial" w:cs="Arial"/>
                <w:b/>
                <w:spacing w:val="1"/>
                <w:sz w:val="18"/>
                <w:szCs w:val="18"/>
                <w:lang w:val="es-ES"/>
              </w:rPr>
              <w:t xml:space="preserve"> </w:t>
            </w:r>
            <w:r w:rsidRPr="00F301E9">
              <w:rPr>
                <w:rFonts w:ascii="Arial" w:eastAsia="Arial" w:hAnsi="Arial" w:cs="Arial"/>
                <w:b/>
                <w:sz w:val="18"/>
                <w:szCs w:val="18"/>
                <w:lang w:val="es-ES"/>
              </w:rPr>
              <w:t>e</w:t>
            </w:r>
            <w:r w:rsidRPr="00F301E9">
              <w:rPr>
                <w:rFonts w:ascii="Arial" w:eastAsia="Arial" w:hAnsi="Arial" w:cs="Arial"/>
                <w:b/>
                <w:spacing w:val="-1"/>
                <w:sz w:val="18"/>
                <w:szCs w:val="18"/>
                <w:lang w:val="es-ES"/>
              </w:rPr>
              <w:t xml:space="preserve"> </w:t>
            </w:r>
            <w:r w:rsidRPr="00F301E9">
              <w:rPr>
                <w:rFonts w:ascii="Arial" w:eastAsia="Arial" w:hAnsi="Arial" w:cs="Arial"/>
                <w:b/>
                <w:sz w:val="18"/>
                <w:szCs w:val="18"/>
                <w:lang w:val="es-ES"/>
              </w:rPr>
              <w:t>I</w:t>
            </w:r>
            <w:r w:rsidRPr="00F301E9">
              <w:rPr>
                <w:rFonts w:ascii="Arial" w:eastAsia="Arial" w:hAnsi="Arial" w:cs="Arial"/>
                <w:b/>
                <w:spacing w:val="1"/>
                <w:sz w:val="18"/>
                <w:szCs w:val="18"/>
                <w:lang w:val="es-ES"/>
              </w:rPr>
              <w:t>ns</w:t>
            </w:r>
            <w:r w:rsidRPr="00F301E9">
              <w:rPr>
                <w:rFonts w:ascii="Arial" w:eastAsia="Arial" w:hAnsi="Arial" w:cs="Arial"/>
                <w:b/>
                <w:sz w:val="18"/>
                <w:szCs w:val="18"/>
                <w:lang w:val="es-ES"/>
              </w:rPr>
              <w:t>tru</w:t>
            </w:r>
            <w:r w:rsidRPr="00F301E9">
              <w:rPr>
                <w:rFonts w:ascii="Arial" w:eastAsia="Arial" w:hAnsi="Arial" w:cs="Arial"/>
                <w:b/>
                <w:spacing w:val="-2"/>
                <w:sz w:val="18"/>
                <w:szCs w:val="18"/>
                <w:lang w:val="es-ES"/>
              </w:rPr>
              <w:t>m</w:t>
            </w:r>
            <w:r w:rsidRPr="00F301E9">
              <w:rPr>
                <w:rFonts w:ascii="Arial" w:eastAsia="Arial" w:hAnsi="Arial" w:cs="Arial"/>
                <w:b/>
                <w:spacing w:val="1"/>
                <w:sz w:val="18"/>
                <w:szCs w:val="18"/>
                <w:lang w:val="es-ES"/>
              </w:rPr>
              <w:t>e</w:t>
            </w:r>
            <w:r w:rsidRPr="00F301E9">
              <w:rPr>
                <w:rFonts w:ascii="Arial" w:eastAsia="Arial" w:hAnsi="Arial" w:cs="Arial"/>
                <w:b/>
                <w:sz w:val="18"/>
                <w:szCs w:val="18"/>
                <w:lang w:val="es-ES"/>
              </w:rPr>
              <w:t>nt</w:t>
            </w:r>
            <w:r w:rsidRPr="00F301E9">
              <w:rPr>
                <w:rFonts w:ascii="Arial" w:eastAsia="Arial" w:hAnsi="Arial" w:cs="Arial"/>
                <w:b/>
                <w:spacing w:val="1"/>
                <w:sz w:val="18"/>
                <w:szCs w:val="18"/>
                <w:lang w:val="es-ES"/>
              </w:rPr>
              <w:t>a</w:t>
            </w:r>
            <w:r w:rsidRPr="00F301E9">
              <w:rPr>
                <w:rFonts w:ascii="Arial" w:eastAsia="Arial" w:hAnsi="Arial" w:cs="Arial"/>
                <w:b/>
                <w:sz w:val="18"/>
                <w:szCs w:val="18"/>
                <w:lang w:val="es-ES"/>
              </w:rPr>
              <w:t>l</w:t>
            </w:r>
            <w:r w:rsidRPr="00F301E9">
              <w:rPr>
                <w:rFonts w:ascii="Arial" w:eastAsia="Arial" w:hAnsi="Arial" w:cs="Arial"/>
                <w:b/>
                <w:spacing w:val="-2"/>
                <w:sz w:val="18"/>
                <w:szCs w:val="18"/>
                <w:lang w:val="es-ES"/>
              </w:rPr>
              <w:t xml:space="preserve"> </w:t>
            </w:r>
            <w:r w:rsidRPr="00F301E9">
              <w:rPr>
                <w:rFonts w:ascii="Arial" w:eastAsia="Arial" w:hAnsi="Arial" w:cs="Arial"/>
                <w:b/>
                <w:spacing w:val="1"/>
                <w:sz w:val="18"/>
                <w:szCs w:val="18"/>
                <w:lang w:val="es-ES"/>
              </w:rPr>
              <w:t>M</w:t>
            </w:r>
            <w:r w:rsidRPr="00F301E9">
              <w:rPr>
                <w:rFonts w:ascii="Arial" w:eastAsia="Arial" w:hAnsi="Arial" w:cs="Arial"/>
                <w:b/>
                <w:spacing w:val="-2"/>
                <w:sz w:val="18"/>
                <w:szCs w:val="18"/>
                <w:lang w:val="es-ES"/>
              </w:rPr>
              <w:t>é</w:t>
            </w:r>
            <w:r w:rsidRPr="00F301E9">
              <w:rPr>
                <w:rFonts w:ascii="Arial" w:eastAsia="Arial" w:hAnsi="Arial" w:cs="Arial"/>
                <w:b/>
                <w:sz w:val="18"/>
                <w:szCs w:val="18"/>
                <w:lang w:val="es-ES"/>
              </w:rPr>
              <w:t>d</w:t>
            </w:r>
            <w:r w:rsidRPr="00F301E9">
              <w:rPr>
                <w:rFonts w:ascii="Arial" w:eastAsia="Arial" w:hAnsi="Arial" w:cs="Arial"/>
                <w:b/>
                <w:spacing w:val="1"/>
                <w:sz w:val="18"/>
                <w:szCs w:val="18"/>
                <w:lang w:val="es-ES"/>
              </w:rPr>
              <w:t>i</w:t>
            </w:r>
            <w:r w:rsidRPr="00F301E9">
              <w:rPr>
                <w:rFonts w:ascii="Arial" w:eastAsia="Arial" w:hAnsi="Arial" w:cs="Arial"/>
                <w:b/>
                <w:spacing w:val="-2"/>
                <w:sz w:val="18"/>
                <w:szCs w:val="18"/>
                <w:lang w:val="es-ES"/>
              </w:rPr>
              <w:t>c</w:t>
            </w:r>
            <w:r w:rsidRPr="00F301E9">
              <w:rPr>
                <w:rFonts w:ascii="Arial" w:eastAsia="Arial" w:hAnsi="Arial" w:cs="Arial"/>
                <w:b/>
                <w:sz w:val="18"/>
                <w:szCs w:val="18"/>
                <w:lang w:val="es-ES"/>
              </w:rPr>
              <w:t>o</w:t>
            </w:r>
            <w:r w:rsidRPr="00F301E9">
              <w:rPr>
                <w:rFonts w:ascii="Arial" w:eastAsia="Arial" w:hAnsi="Arial" w:cs="Arial"/>
                <w:b/>
                <w:spacing w:val="3"/>
                <w:sz w:val="18"/>
                <w:szCs w:val="18"/>
                <w:lang w:val="es-ES"/>
              </w:rPr>
              <w:t xml:space="preserve"> </w:t>
            </w:r>
            <w:r w:rsidRPr="00F301E9">
              <w:rPr>
                <w:rFonts w:ascii="Arial" w:eastAsia="Arial" w:hAnsi="Arial" w:cs="Arial"/>
                <w:b/>
                <w:sz w:val="18"/>
                <w:szCs w:val="18"/>
                <w:lang w:val="es-ES"/>
              </w:rPr>
              <w:t>y</w:t>
            </w:r>
            <w:r w:rsidRPr="00F301E9">
              <w:rPr>
                <w:rFonts w:ascii="Arial" w:eastAsia="Arial" w:hAnsi="Arial" w:cs="Arial"/>
                <w:b/>
                <w:spacing w:val="-6"/>
                <w:sz w:val="18"/>
                <w:szCs w:val="18"/>
                <w:lang w:val="es-ES"/>
              </w:rPr>
              <w:t xml:space="preserve"> </w:t>
            </w:r>
            <w:r w:rsidRPr="00F301E9">
              <w:rPr>
                <w:rFonts w:ascii="Arial" w:eastAsia="Arial" w:hAnsi="Arial" w:cs="Arial"/>
                <w:b/>
                <w:spacing w:val="1"/>
                <w:sz w:val="18"/>
                <w:szCs w:val="18"/>
                <w:lang w:val="es-ES"/>
              </w:rPr>
              <w:t>d</w:t>
            </w:r>
            <w:r w:rsidRPr="00F301E9">
              <w:rPr>
                <w:rFonts w:ascii="Arial" w:eastAsia="Arial" w:hAnsi="Arial" w:cs="Arial"/>
                <w:b/>
                <w:sz w:val="18"/>
                <w:szCs w:val="18"/>
                <w:lang w:val="es-ES"/>
              </w:rPr>
              <w:t>e</w:t>
            </w:r>
            <w:r w:rsidRPr="00F301E9">
              <w:rPr>
                <w:rFonts w:ascii="Arial" w:eastAsia="Arial" w:hAnsi="Arial" w:cs="Arial"/>
                <w:b/>
                <w:spacing w:val="1"/>
                <w:sz w:val="18"/>
                <w:szCs w:val="18"/>
                <w:lang w:val="es-ES"/>
              </w:rPr>
              <w:t xml:space="preserve"> La</w:t>
            </w:r>
            <w:r w:rsidRPr="00F301E9">
              <w:rPr>
                <w:rFonts w:ascii="Arial" w:eastAsia="Arial" w:hAnsi="Arial" w:cs="Arial"/>
                <w:b/>
                <w:sz w:val="18"/>
                <w:szCs w:val="18"/>
                <w:lang w:val="es-ES"/>
              </w:rPr>
              <w:t>b</w:t>
            </w:r>
            <w:r w:rsidRPr="00F301E9">
              <w:rPr>
                <w:rFonts w:ascii="Arial" w:eastAsia="Arial" w:hAnsi="Arial" w:cs="Arial"/>
                <w:b/>
                <w:spacing w:val="1"/>
                <w:sz w:val="18"/>
                <w:szCs w:val="18"/>
                <w:lang w:val="es-ES"/>
              </w:rPr>
              <w:t>o</w:t>
            </w:r>
            <w:r w:rsidRPr="00F301E9">
              <w:rPr>
                <w:rFonts w:ascii="Arial" w:eastAsia="Arial" w:hAnsi="Arial" w:cs="Arial"/>
                <w:b/>
                <w:sz w:val="18"/>
                <w:szCs w:val="18"/>
                <w:lang w:val="es-ES"/>
              </w:rPr>
              <w:t>rat</w:t>
            </w:r>
            <w:r w:rsidRPr="00F301E9">
              <w:rPr>
                <w:rFonts w:ascii="Arial" w:eastAsia="Arial" w:hAnsi="Arial" w:cs="Arial"/>
                <w:b/>
                <w:spacing w:val="1"/>
                <w:sz w:val="18"/>
                <w:szCs w:val="18"/>
                <w:lang w:val="es-ES"/>
              </w:rPr>
              <w:t>o</w:t>
            </w:r>
            <w:r w:rsidRPr="00F301E9">
              <w:rPr>
                <w:rFonts w:ascii="Arial" w:eastAsia="Arial" w:hAnsi="Arial" w:cs="Arial"/>
                <w:b/>
                <w:sz w:val="18"/>
                <w:szCs w:val="18"/>
                <w:lang w:val="es-ES"/>
              </w:rPr>
              <w:t>rio</w:t>
            </w:r>
          </w:p>
        </w:tc>
      </w:tr>
      <w:tr w:rsidR="00F301E9" w:rsidRPr="00F301E9" w:rsidTr="005D0231">
        <w:trPr>
          <w:trHeight w:hRule="exact" w:val="356"/>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3</w:t>
            </w:r>
            <w:r w:rsidRPr="00F301E9">
              <w:rPr>
                <w:rFonts w:ascii="Arial" w:eastAsia="Arial" w:hAnsi="Arial" w:cs="Arial"/>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w:t>
            </w:r>
            <w:r w:rsidRPr="00F301E9">
              <w:rPr>
                <w:rFonts w:ascii="Arial" w:eastAsia="Arial" w:hAnsi="Arial" w:cs="Arial"/>
                <w:spacing w:val="1"/>
                <w:sz w:val="18"/>
                <w:szCs w:val="18"/>
                <w:lang w:val="es-ES"/>
              </w:rPr>
              <w:t>quip</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pacing w:val="-3"/>
                <w:sz w:val="18"/>
                <w:szCs w:val="18"/>
                <w:lang w:val="es-ES"/>
              </w:rPr>
              <w:t>M</w:t>
            </w:r>
            <w:r w:rsidRPr="00F301E9">
              <w:rPr>
                <w:rFonts w:ascii="Arial" w:eastAsia="Arial" w:hAnsi="Arial" w:cs="Arial"/>
                <w:spacing w:val="1"/>
                <w:sz w:val="18"/>
                <w:szCs w:val="18"/>
                <w:lang w:val="es-ES"/>
              </w:rPr>
              <w:t>édic</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La</w:t>
            </w:r>
            <w:r w:rsidRPr="00F301E9">
              <w:rPr>
                <w:rFonts w:ascii="Arial" w:eastAsia="Arial" w:hAnsi="Arial" w:cs="Arial"/>
                <w:spacing w:val="-2"/>
                <w:sz w:val="18"/>
                <w:szCs w:val="18"/>
                <w:lang w:val="es-ES"/>
              </w:rPr>
              <w:t>b</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o</w:t>
            </w:r>
            <w:r w:rsidRPr="00F301E9">
              <w:rPr>
                <w:rFonts w:ascii="Arial" w:eastAsia="Arial" w:hAnsi="Arial" w:cs="Arial"/>
                <w:spacing w:val="-2"/>
                <w:sz w:val="18"/>
                <w:szCs w:val="18"/>
                <w:lang w:val="es-ES"/>
              </w:rPr>
              <w:t>ri</w:t>
            </w:r>
            <w:r w:rsidRPr="00F301E9">
              <w:rPr>
                <w:rFonts w:ascii="Arial" w:eastAsia="Arial" w:hAnsi="Arial" w:cs="Arial"/>
                <w:sz w:val="18"/>
                <w:szCs w:val="18"/>
                <w:lang w:val="es-ES"/>
              </w:rPr>
              <w:t>o</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lastRenderedPageBreak/>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3</w:t>
            </w:r>
            <w:r w:rsidRPr="00F301E9">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I</w:t>
            </w:r>
            <w:r w:rsidRPr="00F301E9">
              <w:rPr>
                <w:rFonts w:ascii="Arial" w:eastAsia="Arial" w:hAnsi="Arial" w:cs="Arial"/>
                <w:spacing w:val="1"/>
                <w:sz w:val="18"/>
                <w:szCs w:val="18"/>
                <w:lang w:val="es-ES"/>
              </w:rPr>
              <w:t>ns</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u</w:t>
            </w:r>
            <w:r w:rsidRPr="00F301E9">
              <w:rPr>
                <w:rFonts w:ascii="Arial" w:eastAsia="Arial" w:hAnsi="Arial" w:cs="Arial"/>
                <w:spacing w:val="1"/>
                <w:sz w:val="18"/>
                <w:szCs w:val="18"/>
                <w:lang w:val="es-ES"/>
              </w:rPr>
              <w:t>m</w:t>
            </w:r>
            <w:r w:rsidRPr="00F301E9">
              <w:rPr>
                <w:rFonts w:ascii="Arial" w:eastAsia="Arial" w:hAnsi="Arial" w:cs="Arial"/>
                <w:spacing w:val="-2"/>
                <w:sz w:val="18"/>
                <w:szCs w:val="18"/>
                <w:lang w:val="es-ES"/>
              </w:rPr>
              <w:t>e</w:t>
            </w:r>
            <w:r w:rsidRPr="00F301E9">
              <w:rPr>
                <w:rFonts w:ascii="Arial" w:eastAsia="Arial" w:hAnsi="Arial" w:cs="Arial"/>
                <w:spacing w:val="1"/>
                <w:sz w:val="18"/>
                <w:szCs w:val="18"/>
                <w:lang w:val="es-ES"/>
              </w:rPr>
              <w:t>n</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l</w:t>
            </w:r>
            <w:r w:rsidRPr="00F301E9">
              <w:rPr>
                <w:rFonts w:ascii="Arial" w:eastAsia="Arial" w:hAnsi="Arial" w:cs="Arial"/>
                <w:spacing w:val="1"/>
                <w:sz w:val="18"/>
                <w:szCs w:val="18"/>
                <w:lang w:val="es-ES"/>
              </w:rPr>
              <w:t xml:space="preserve"> </w:t>
            </w:r>
            <w:r w:rsidRPr="00F301E9">
              <w:rPr>
                <w:rFonts w:ascii="Arial" w:eastAsia="Arial" w:hAnsi="Arial" w:cs="Arial"/>
                <w:spacing w:val="-3"/>
                <w:sz w:val="18"/>
                <w:szCs w:val="18"/>
                <w:lang w:val="es-ES"/>
              </w:rPr>
              <w:t>M</w:t>
            </w:r>
            <w:r w:rsidRPr="00F301E9">
              <w:rPr>
                <w:rFonts w:ascii="Arial" w:eastAsia="Arial" w:hAnsi="Arial" w:cs="Arial"/>
                <w:spacing w:val="1"/>
                <w:sz w:val="18"/>
                <w:szCs w:val="18"/>
                <w:lang w:val="es-ES"/>
              </w:rPr>
              <w:t>édi</w:t>
            </w:r>
            <w:r w:rsidRPr="00F301E9">
              <w:rPr>
                <w:rFonts w:ascii="Arial" w:eastAsia="Arial" w:hAnsi="Arial" w:cs="Arial"/>
                <w:spacing w:val="-1"/>
                <w:sz w:val="18"/>
                <w:szCs w:val="18"/>
                <w:lang w:val="es-ES"/>
              </w:rPr>
              <w:t>c</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L</w:t>
            </w:r>
            <w:r w:rsidRPr="00F301E9">
              <w:rPr>
                <w:rFonts w:ascii="Arial" w:eastAsia="Arial" w:hAnsi="Arial" w:cs="Arial"/>
                <w:spacing w:val="1"/>
                <w:sz w:val="18"/>
                <w:szCs w:val="18"/>
                <w:lang w:val="es-ES"/>
              </w:rPr>
              <w:t>a</w:t>
            </w:r>
            <w:r w:rsidRPr="00F301E9">
              <w:rPr>
                <w:rFonts w:ascii="Arial" w:eastAsia="Arial" w:hAnsi="Arial" w:cs="Arial"/>
                <w:spacing w:val="-2"/>
                <w:sz w:val="18"/>
                <w:szCs w:val="18"/>
                <w:lang w:val="es-ES"/>
              </w:rPr>
              <w:t>b</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i</w:t>
            </w:r>
            <w:r w:rsidRPr="00F301E9">
              <w:rPr>
                <w:rFonts w:ascii="Arial" w:eastAsia="Arial" w:hAnsi="Arial" w:cs="Arial"/>
                <w:sz w:val="18"/>
                <w:szCs w:val="18"/>
                <w:lang w:val="es-ES"/>
              </w:rPr>
              <w:t>o</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133"/>
        </w:trPr>
        <w:tc>
          <w:tcPr>
            <w:tcW w:w="8912" w:type="dxa"/>
            <w:gridSpan w:val="10"/>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1</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2</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4</w:t>
            </w:r>
            <w:r w:rsidRPr="00F301E9">
              <w:rPr>
                <w:rFonts w:ascii="Arial" w:eastAsia="Arial" w:hAnsi="Arial" w:cs="Arial"/>
                <w:b/>
                <w:spacing w:val="-2"/>
                <w:sz w:val="18"/>
                <w:szCs w:val="18"/>
                <w:lang w:val="es-ES"/>
              </w:rPr>
              <w:t>.</w:t>
            </w:r>
            <w:r w:rsidRPr="00F301E9">
              <w:rPr>
                <w:rFonts w:ascii="Arial" w:eastAsia="Arial" w:hAnsi="Arial" w:cs="Arial"/>
                <w:b/>
                <w:sz w:val="18"/>
                <w:szCs w:val="18"/>
                <w:lang w:val="es-ES"/>
              </w:rPr>
              <w:t>4</w:t>
            </w:r>
          </w:p>
        </w:tc>
        <w:tc>
          <w:tcPr>
            <w:tcW w:w="7930" w:type="dxa"/>
            <w:gridSpan w:val="8"/>
            <w:tcBorders>
              <w:top w:val="single" w:sz="7" w:space="0" w:color="000000"/>
              <w:left w:val="single" w:sz="7" w:space="0" w:color="000000"/>
              <w:bottom w:val="nil"/>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b/>
                <w:sz w:val="18"/>
                <w:szCs w:val="18"/>
                <w:lang w:val="es-ES"/>
              </w:rPr>
              <w:t>Eq</w:t>
            </w:r>
            <w:r w:rsidRPr="00F301E9">
              <w:rPr>
                <w:rFonts w:ascii="Arial" w:eastAsia="Arial" w:hAnsi="Arial" w:cs="Arial"/>
                <w:b/>
                <w:spacing w:val="1"/>
                <w:sz w:val="18"/>
                <w:szCs w:val="18"/>
                <w:lang w:val="es-ES"/>
              </w:rPr>
              <w:t>u</w:t>
            </w:r>
            <w:r w:rsidRPr="00F301E9">
              <w:rPr>
                <w:rFonts w:ascii="Arial" w:eastAsia="Arial" w:hAnsi="Arial" w:cs="Arial"/>
                <w:b/>
                <w:sz w:val="18"/>
                <w:szCs w:val="18"/>
                <w:lang w:val="es-ES"/>
              </w:rPr>
              <w:t>i</w:t>
            </w:r>
            <w:r w:rsidRPr="00F301E9">
              <w:rPr>
                <w:rFonts w:ascii="Arial" w:eastAsia="Arial" w:hAnsi="Arial" w:cs="Arial"/>
                <w:b/>
                <w:spacing w:val="1"/>
                <w:sz w:val="18"/>
                <w:szCs w:val="18"/>
                <w:lang w:val="es-ES"/>
              </w:rPr>
              <w:t>p</w:t>
            </w:r>
            <w:r w:rsidRPr="00F301E9">
              <w:rPr>
                <w:rFonts w:ascii="Arial" w:eastAsia="Arial" w:hAnsi="Arial" w:cs="Arial"/>
                <w:b/>
                <w:sz w:val="18"/>
                <w:szCs w:val="18"/>
                <w:lang w:val="es-ES"/>
              </w:rPr>
              <w:t>o</w:t>
            </w:r>
            <w:r w:rsidRPr="00F301E9">
              <w:rPr>
                <w:rFonts w:ascii="Arial" w:eastAsia="Arial" w:hAnsi="Arial" w:cs="Arial"/>
                <w:b/>
                <w:spacing w:val="1"/>
                <w:sz w:val="18"/>
                <w:szCs w:val="18"/>
                <w:lang w:val="es-ES"/>
              </w:rPr>
              <w:t xml:space="preserve"> </w:t>
            </w:r>
            <w:r w:rsidRPr="00F301E9">
              <w:rPr>
                <w:rFonts w:ascii="Arial" w:eastAsia="Arial" w:hAnsi="Arial" w:cs="Arial"/>
                <w:b/>
                <w:sz w:val="18"/>
                <w:szCs w:val="18"/>
                <w:lang w:val="es-ES"/>
              </w:rPr>
              <w:t>de</w:t>
            </w:r>
            <w:r w:rsidRPr="00F301E9">
              <w:rPr>
                <w:rFonts w:ascii="Arial" w:eastAsia="Arial" w:hAnsi="Arial" w:cs="Arial"/>
                <w:b/>
                <w:spacing w:val="-1"/>
                <w:sz w:val="18"/>
                <w:szCs w:val="18"/>
                <w:lang w:val="es-ES"/>
              </w:rPr>
              <w:t xml:space="preserve"> </w:t>
            </w:r>
            <w:r w:rsidRPr="00F301E9">
              <w:rPr>
                <w:rFonts w:ascii="Arial" w:eastAsia="Arial" w:hAnsi="Arial" w:cs="Arial"/>
                <w:b/>
                <w:spacing w:val="1"/>
                <w:sz w:val="18"/>
                <w:szCs w:val="18"/>
                <w:lang w:val="es-ES"/>
              </w:rPr>
              <w:t>T</w:t>
            </w:r>
            <w:r w:rsidRPr="00F301E9">
              <w:rPr>
                <w:rFonts w:ascii="Arial" w:eastAsia="Arial" w:hAnsi="Arial" w:cs="Arial"/>
                <w:b/>
                <w:sz w:val="18"/>
                <w:szCs w:val="18"/>
                <w:lang w:val="es-ES"/>
              </w:rPr>
              <w:t>ra</w:t>
            </w:r>
            <w:r w:rsidRPr="00F301E9">
              <w:rPr>
                <w:rFonts w:ascii="Arial" w:eastAsia="Arial" w:hAnsi="Arial" w:cs="Arial"/>
                <w:b/>
                <w:spacing w:val="1"/>
                <w:sz w:val="18"/>
                <w:szCs w:val="18"/>
                <w:lang w:val="es-ES"/>
              </w:rPr>
              <w:t>n</w:t>
            </w:r>
            <w:r w:rsidRPr="00F301E9">
              <w:rPr>
                <w:rFonts w:ascii="Arial" w:eastAsia="Arial" w:hAnsi="Arial" w:cs="Arial"/>
                <w:b/>
                <w:spacing w:val="-2"/>
                <w:sz w:val="18"/>
                <w:szCs w:val="18"/>
                <w:lang w:val="es-ES"/>
              </w:rPr>
              <w:t>s</w:t>
            </w:r>
            <w:r w:rsidRPr="00F301E9">
              <w:rPr>
                <w:rFonts w:ascii="Arial" w:eastAsia="Arial" w:hAnsi="Arial" w:cs="Arial"/>
                <w:b/>
                <w:sz w:val="18"/>
                <w:szCs w:val="18"/>
                <w:lang w:val="es-ES"/>
              </w:rPr>
              <w:t>p</w:t>
            </w:r>
            <w:r w:rsidRPr="00F301E9">
              <w:rPr>
                <w:rFonts w:ascii="Arial" w:eastAsia="Arial" w:hAnsi="Arial" w:cs="Arial"/>
                <w:b/>
                <w:spacing w:val="1"/>
                <w:sz w:val="18"/>
                <w:szCs w:val="18"/>
                <w:lang w:val="es-ES"/>
              </w:rPr>
              <w:t>o</w:t>
            </w:r>
            <w:r w:rsidRPr="00F301E9">
              <w:rPr>
                <w:rFonts w:ascii="Arial" w:eastAsia="Arial" w:hAnsi="Arial" w:cs="Arial"/>
                <w:b/>
                <w:sz w:val="18"/>
                <w:szCs w:val="18"/>
                <w:lang w:val="es-ES"/>
              </w:rPr>
              <w:t>rte</w:t>
            </w:r>
          </w:p>
        </w:tc>
      </w:tr>
      <w:tr w:rsidR="00F301E9" w:rsidRPr="00F301E9" w:rsidTr="005D0231">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A</w:t>
            </w:r>
            <w:r w:rsidRPr="00F301E9">
              <w:rPr>
                <w:rFonts w:ascii="Arial" w:eastAsia="Arial" w:hAnsi="Arial" w:cs="Arial"/>
                <w:spacing w:val="1"/>
                <w:sz w:val="18"/>
                <w:szCs w:val="18"/>
                <w:lang w:val="es-ES"/>
              </w:rPr>
              <w:t>u</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o</w:t>
            </w:r>
            <w:r w:rsidRPr="00F301E9">
              <w:rPr>
                <w:rFonts w:ascii="Arial" w:eastAsia="Arial" w:hAnsi="Arial" w:cs="Arial"/>
                <w:spacing w:val="-1"/>
                <w:sz w:val="18"/>
                <w:szCs w:val="18"/>
                <w:lang w:val="es-ES"/>
              </w:rPr>
              <w:t>m</w:t>
            </w:r>
            <w:r w:rsidRPr="00F301E9">
              <w:rPr>
                <w:rFonts w:ascii="Arial" w:eastAsia="Arial" w:hAnsi="Arial" w:cs="Arial"/>
                <w:spacing w:val="1"/>
                <w:sz w:val="18"/>
                <w:szCs w:val="18"/>
                <w:lang w:val="es-ES"/>
              </w:rPr>
              <w:t>ó</w:t>
            </w:r>
            <w:r w:rsidRPr="00F301E9">
              <w:rPr>
                <w:rFonts w:ascii="Arial" w:eastAsia="Arial" w:hAnsi="Arial" w:cs="Arial"/>
                <w:spacing w:val="-1"/>
                <w:sz w:val="18"/>
                <w:szCs w:val="18"/>
                <w:lang w:val="es-ES"/>
              </w:rPr>
              <w:t>v</w:t>
            </w:r>
            <w:r w:rsidRPr="00F301E9">
              <w:rPr>
                <w:rFonts w:ascii="Arial" w:eastAsia="Arial" w:hAnsi="Arial" w:cs="Arial"/>
                <w:spacing w:val="1"/>
                <w:sz w:val="18"/>
                <w:szCs w:val="18"/>
                <w:lang w:val="es-ES"/>
              </w:rPr>
              <w:t>ile</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3"/>
                <w:sz w:val="18"/>
                <w:szCs w:val="18"/>
                <w:lang w:val="es-ES"/>
              </w:rPr>
              <w:t>q</w:t>
            </w:r>
            <w:r w:rsidRPr="00F301E9">
              <w:rPr>
                <w:rFonts w:ascii="Arial" w:eastAsia="Arial" w:hAnsi="Arial" w:cs="Arial"/>
                <w:spacing w:val="1"/>
                <w:sz w:val="18"/>
                <w:szCs w:val="18"/>
                <w:lang w:val="es-ES"/>
              </w:rPr>
              <w:t>ui</w:t>
            </w:r>
            <w:r w:rsidRPr="00F301E9">
              <w:rPr>
                <w:rFonts w:ascii="Arial" w:eastAsia="Arial" w:hAnsi="Arial" w:cs="Arial"/>
                <w:spacing w:val="-2"/>
                <w:sz w:val="18"/>
                <w:szCs w:val="18"/>
                <w:lang w:val="es-ES"/>
              </w:rPr>
              <w:t>p</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pacing w:val="-2"/>
                <w:sz w:val="18"/>
                <w:szCs w:val="18"/>
                <w:lang w:val="es-ES"/>
              </w:rPr>
              <w:t>T</w:t>
            </w:r>
            <w:r w:rsidRPr="00F301E9">
              <w:rPr>
                <w:rFonts w:ascii="Arial" w:eastAsia="Arial" w:hAnsi="Arial" w:cs="Arial"/>
                <w:spacing w:val="1"/>
                <w:sz w:val="18"/>
                <w:szCs w:val="18"/>
                <w:lang w:val="es-ES"/>
              </w:rPr>
              <w:t>e</w:t>
            </w:r>
            <w:r w:rsidRPr="00F301E9">
              <w:rPr>
                <w:rFonts w:ascii="Arial" w:eastAsia="Arial" w:hAnsi="Arial" w:cs="Arial"/>
                <w:sz w:val="18"/>
                <w:szCs w:val="18"/>
                <w:lang w:val="es-ES"/>
              </w:rPr>
              <w:t>rr</w:t>
            </w:r>
            <w:r w:rsidRPr="00F301E9">
              <w:rPr>
                <w:rFonts w:ascii="Arial" w:eastAsia="Arial" w:hAnsi="Arial" w:cs="Arial"/>
                <w:spacing w:val="1"/>
                <w:sz w:val="18"/>
                <w:szCs w:val="18"/>
                <w:lang w:val="es-ES"/>
              </w:rPr>
              <w:t>es</w:t>
            </w:r>
            <w:r w:rsidRPr="00F301E9">
              <w:rPr>
                <w:rFonts w:ascii="Arial" w:eastAsia="Arial" w:hAnsi="Arial" w:cs="Arial"/>
                <w:sz w:val="18"/>
                <w:szCs w:val="18"/>
                <w:lang w:val="es-ES"/>
              </w:rPr>
              <w:t>t</w:t>
            </w:r>
            <w:r w:rsidRPr="00F301E9">
              <w:rPr>
                <w:rFonts w:ascii="Arial" w:eastAsia="Arial" w:hAnsi="Arial" w:cs="Arial"/>
                <w:spacing w:val="-2"/>
                <w:sz w:val="18"/>
                <w:szCs w:val="18"/>
                <w:lang w:val="es-ES"/>
              </w:rPr>
              <w:t>r</w:t>
            </w:r>
            <w:r w:rsidRPr="00F301E9">
              <w:rPr>
                <w:rFonts w:ascii="Arial" w:eastAsia="Arial" w:hAnsi="Arial" w:cs="Arial"/>
                <w:sz w:val="18"/>
                <w:szCs w:val="18"/>
                <w:lang w:val="es-ES"/>
              </w:rPr>
              <w:t>e</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4"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Carr</w:t>
            </w:r>
            <w:r w:rsidRPr="00F301E9">
              <w:rPr>
                <w:rFonts w:ascii="Arial" w:eastAsia="Arial" w:hAnsi="Arial" w:cs="Arial"/>
                <w:spacing w:val="1"/>
                <w:sz w:val="18"/>
                <w:szCs w:val="18"/>
                <w:lang w:val="es-ES"/>
              </w:rPr>
              <w:t>oce</w:t>
            </w:r>
            <w:r w:rsidRPr="00F301E9">
              <w:rPr>
                <w:rFonts w:ascii="Arial" w:eastAsia="Arial" w:hAnsi="Arial" w:cs="Arial"/>
                <w:sz w:val="18"/>
                <w:szCs w:val="18"/>
                <w:lang w:val="es-ES"/>
              </w:rPr>
              <w:t>r</w:t>
            </w:r>
            <w:r w:rsidRPr="00F301E9">
              <w:rPr>
                <w:rFonts w:ascii="Arial" w:eastAsia="Arial" w:hAnsi="Arial" w:cs="Arial"/>
                <w:spacing w:val="-2"/>
                <w:sz w:val="18"/>
                <w:szCs w:val="18"/>
                <w:lang w:val="es-ES"/>
              </w:rPr>
              <w:t>í</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R</w:t>
            </w:r>
            <w:r w:rsidRPr="00F301E9">
              <w:rPr>
                <w:rFonts w:ascii="Arial" w:eastAsia="Arial" w:hAnsi="Arial" w:cs="Arial"/>
                <w:spacing w:val="-2"/>
                <w:sz w:val="18"/>
                <w:szCs w:val="18"/>
                <w:lang w:val="es-ES"/>
              </w:rPr>
              <w:t>e</w:t>
            </w:r>
            <w:r w:rsidRPr="00F301E9">
              <w:rPr>
                <w:rFonts w:ascii="Arial" w:eastAsia="Arial" w:hAnsi="Arial" w:cs="Arial"/>
                <w:spacing w:val="1"/>
                <w:sz w:val="18"/>
                <w:szCs w:val="18"/>
                <w:lang w:val="es-ES"/>
              </w:rPr>
              <w:t>mo</w:t>
            </w:r>
            <w:r w:rsidRPr="00F301E9">
              <w:rPr>
                <w:rFonts w:ascii="Arial" w:eastAsia="Arial" w:hAnsi="Arial" w:cs="Arial"/>
                <w:spacing w:val="-2"/>
                <w:sz w:val="18"/>
                <w:szCs w:val="18"/>
                <w:lang w:val="es-ES"/>
              </w:rPr>
              <w:t>l</w:t>
            </w:r>
            <w:r w:rsidRPr="00F301E9">
              <w:rPr>
                <w:rFonts w:ascii="Arial" w:eastAsia="Arial" w:hAnsi="Arial" w:cs="Arial"/>
                <w:spacing w:val="1"/>
                <w:sz w:val="18"/>
                <w:szCs w:val="18"/>
                <w:lang w:val="es-ES"/>
              </w:rPr>
              <w:t>qu</w:t>
            </w:r>
            <w:r w:rsidRPr="00F301E9">
              <w:rPr>
                <w:rFonts w:ascii="Arial" w:eastAsia="Arial" w:hAnsi="Arial" w:cs="Arial"/>
                <w:spacing w:val="-2"/>
                <w:sz w:val="18"/>
                <w:szCs w:val="18"/>
                <w:lang w:val="es-ES"/>
              </w:rPr>
              <w:t>e</w:t>
            </w:r>
            <w:r w:rsidRPr="00F301E9">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pacing w:val="1"/>
                <w:sz w:val="18"/>
                <w:szCs w:val="18"/>
                <w:lang w:val="es-ES"/>
              </w:rPr>
            </w:pPr>
            <w:r w:rsidRPr="00F301E9">
              <w:rPr>
                <w:rFonts w:ascii="Arial" w:eastAsia="Arial" w:hAnsi="Arial" w:cs="Arial"/>
                <w:spacing w:val="1"/>
                <w:sz w:val="18"/>
                <w:szCs w:val="18"/>
                <w:lang w:val="es-ES"/>
              </w:rPr>
              <w:t>1.2.4.4.3</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Equipo Aeroespacial</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pacing w:val="1"/>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pacing w:val="1"/>
                <w:sz w:val="18"/>
                <w:szCs w:val="18"/>
                <w:lang w:val="es-ES"/>
              </w:rPr>
            </w:pPr>
            <w:r w:rsidRPr="00F301E9">
              <w:rPr>
                <w:rFonts w:ascii="Arial" w:eastAsia="Arial" w:hAnsi="Arial" w:cs="Arial"/>
                <w:spacing w:val="1"/>
                <w:sz w:val="18"/>
                <w:szCs w:val="18"/>
                <w:lang w:val="es-ES"/>
              </w:rPr>
              <w:t>1.2.4.4.4</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Equipo Ferroviario</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pacing w:val="1"/>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pacing w:val="1"/>
                <w:sz w:val="18"/>
                <w:szCs w:val="18"/>
                <w:lang w:val="es-ES"/>
              </w:rPr>
            </w:pPr>
            <w:r w:rsidRPr="00F301E9">
              <w:rPr>
                <w:rFonts w:ascii="Arial" w:eastAsia="Arial" w:hAnsi="Arial" w:cs="Arial"/>
                <w:spacing w:val="1"/>
                <w:sz w:val="18"/>
                <w:szCs w:val="18"/>
                <w:lang w:val="es-ES"/>
              </w:rPr>
              <w:t>1.2.4.4.5</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Embarcaciones</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pacing w:val="1"/>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pacing w:val="1"/>
                <w:sz w:val="18"/>
                <w:szCs w:val="18"/>
                <w:lang w:val="es-ES"/>
              </w:rPr>
            </w:pPr>
            <w:r w:rsidRPr="00F301E9">
              <w:rPr>
                <w:rFonts w:ascii="Arial" w:eastAsia="Arial" w:hAnsi="Arial" w:cs="Arial"/>
                <w:spacing w:val="1"/>
                <w:sz w:val="18"/>
                <w:szCs w:val="18"/>
                <w:lang w:val="es-ES"/>
              </w:rPr>
              <w:t>1.2.4.4.9</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Otros Equipos de Transporte</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pacing w:val="1"/>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117"/>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pacing w:val="1"/>
                <w:sz w:val="18"/>
                <w:szCs w:val="18"/>
                <w:lang w:val="es-ES"/>
              </w:rPr>
            </w:pP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sz w:val="18"/>
                <w:szCs w:val="18"/>
                <w:lang w:val="es-ES"/>
              </w:rPr>
            </w:pP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sz w:val="18"/>
                <w:szCs w:val="18"/>
                <w:lang w:val="es-ES"/>
              </w:rPr>
            </w:pP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spacing w:val="1"/>
                <w:sz w:val="18"/>
                <w:szCs w:val="18"/>
                <w:lang w:val="es-ES"/>
              </w:rPr>
            </w:pPr>
          </w:p>
        </w:tc>
      </w:tr>
      <w:tr w:rsidR="00F301E9" w:rsidRPr="00F301E9" w:rsidTr="005D0231">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b/>
                <w:spacing w:val="1"/>
                <w:sz w:val="18"/>
                <w:szCs w:val="18"/>
                <w:lang w:val="es-ES"/>
              </w:rPr>
            </w:pPr>
            <w:r w:rsidRPr="00F301E9">
              <w:rPr>
                <w:rFonts w:ascii="Arial" w:eastAsia="Arial" w:hAnsi="Arial" w:cs="Arial"/>
                <w:b/>
                <w:spacing w:val="1"/>
                <w:sz w:val="18"/>
                <w:szCs w:val="18"/>
                <w:lang w:val="es-ES"/>
              </w:rPr>
              <w:t>1.2.4.5</w:t>
            </w:r>
          </w:p>
        </w:tc>
        <w:tc>
          <w:tcPr>
            <w:tcW w:w="5614" w:type="dxa"/>
            <w:gridSpan w:val="4"/>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64"/>
              <w:jc w:val="both"/>
              <w:rPr>
                <w:rFonts w:ascii="Arial" w:eastAsia="Arial" w:hAnsi="Arial" w:cs="Arial"/>
                <w:b/>
                <w:sz w:val="18"/>
                <w:szCs w:val="18"/>
                <w:lang w:val="es-ES"/>
              </w:rPr>
            </w:pPr>
            <w:r w:rsidRPr="00F301E9">
              <w:rPr>
                <w:rFonts w:ascii="Arial" w:eastAsia="Arial" w:hAnsi="Arial" w:cs="Arial"/>
                <w:b/>
                <w:sz w:val="18"/>
                <w:szCs w:val="18"/>
                <w:lang w:val="es-ES"/>
              </w:rPr>
              <w:t>Equipo de Defensa y Seguridad1</w:t>
            </w:r>
          </w:p>
        </w:tc>
        <w:tc>
          <w:tcPr>
            <w:tcW w:w="868"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318" w:right="351"/>
              <w:jc w:val="center"/>
              <w:rPr>
                <w:rFonts w:ascii="Arial" w:eastAsia="Arial" w:hAnsi="Arial" w:cs="Arial"/>
                <w:b/>
                <w:sz w:val="18"/>
                <w:szCs w:val="18"/>
                <w:lang w:val="es-ES"/>
              </w:rPr>
            </w:pPr>
            <w:r w:rsidRPr="00F301E9">
              <w:rPr>
                <w:rFonts w:ascii="Arial" w:eastAsia="Arial" w:hAnsi="Arial" w:cs="Arial"/>
                <w:b/>
                <w:sz w:val="18"/>
                <w:szCs w:val="18"/>
                <w:lang w:val="es-ES"/>
              </w:rPr>
              <w:t>*</w:t>
            </w:r>
          </w:p>
        </w:tc>
        <w:tc>
          <w:tcPr>
            <w:tcW w:w="1448" w:type="dxa"/>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22" w:after="60" w:line="360" w:lineRule="auto"/>
              <w:ind w:left="530" w:right="530"/>
              <w:jc w:val="center"/>
              <w:rPr>
                <w:rFonts w:ascii="Arial" w:eastAsia="Arial" w:hAnsi="Arial" w:cs="Arial"/>
                <w:b/>
                <w:spacing w:val="1"/>
                <w:sz w:val="18"/>
                <w:szCs w:val="18"/>
                <w:lang w:val="es-ES"/>
              </w:rPr>
            </w:pPr>
            <w:r w:rsidRPr="00F301E9">
              <w:rPr>
                <w:rFonts w:ascii="Arial" w:eastAsia="Arial" w:hAnsi="Arial" w:cs="Arial"/>
                <w:b/>
                <w:spacing w:val="1"/>
                <w:sz w:val="18"/>
                <w:szCs w:val="18"/>
                <w:lang w:val="es-ES"/>
              </w:rPr>
              <w:t>*</w:t>
            </w:r>
          </w:p>
        </w:tc>
      </w:tr>
      <w:tr w:rsidR="00F301E9" w:rsidRPr="00F301E9" w:rsidTr="005D0231">
        <w:trPr>
          <w:trHeight w:hRule="exact" w:val="482"/>
        </w:trPr>
        <w:tc>
          <w:tcPr>
            <w:tcW w:w="8912" w:type="dxa"/>
            <w:gridSpan w:val="10"/>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1</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2.4</w:t>
            </w:r>
            <w:r w:rsidRPr="00F301E9">
              <w:rPr>
                <w:rFonts w:ascii="Arial" w:eastAsia="Arial" w:hAnsi="Arial" w:cs="Arial"/>
                <w:b/>
                <w:spacing w:val="-2"/>
                <w:sz w:val="18"/>
                <w:szCs w:val="18"/>
                <w:lang w:val="es-ES"/>
              </w:rPr>
              <w:t>.</w:t>
            </w:r>
            <w:r w:rsidRPr="00F301E9">
              <w:rPr>
                <w:rFonts w:ascii="Arial" w:eastAsia="Arial" w:hAnsi="Arial" w:cs="Arial"/>
                <w:b/>
                <w:sz w:val="18"/>
                <w:szCs w:val="18"/>
                <w:lang w:val="es-ES"/>
              </w:rPr>
              <w:t>6</w:t>
            </w:r>
          </w:p>
        </w:tc>
        <w:tc>
          <w:tcPr>
            <w:tcW w:w="7930" w:type="dxa"/>
            <w:gridSpan w:val="8"/>
            <w:tcBorders>
              <w:top w:val="single" w:sz="7" w:space="0" w:color="000000"/>
              <w:left w:val="single" w:sz="7" w:space="0" w:color="000000"/>
              <w:bottom w:val="nil"/>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Ma</w:t>
            </w:r>
            <w:r w:rsidRPr="00F301E9">
              <w:rPr>
                <w:rFonts w:ascii="Arial" w:eastAsia="Arial" w:hAnsi="Arial" w:cs="Arial"/>
                <w:b/>
                <w:sz w:val="18"/>
                <w:szCs w:val="18"/>
                <w:lang w:val="es-ES"/>
              </w:rPr>
              <w:t>q</w:t>
            </w:r>
            <w:r w:rsidRPr="00F301E9">
              <w:rPr>
                <w:rFonts w:ascii="Arial" w:eastAsia="Arial" w:hAnsi="Arial" w:cs="Arial"/>
                <w:b/>
                <w:spacing w:val="1"/>
                <w:sz w:val="18"/>
                <w:szCs w:val="18"/>
                <w:lang w:val="es-ES"/>
              </w:rPr>
              <w:t>u</w:t>
            </w:r>
            <w:r w:rsidRPr="00F301E9">
              <w:rPr>
                <w:rFonts w:ascii="Arial" w:eastAsia="Arial" w:hAnsi="Arial" w:cs="Arial"/>
                <w:b/>
                <w:spacing w:val="-2"/>
                <w:sz w:val="18"/>
                <w:szCs w:val="18"/>
                <w:lang w:val="es-ES"/>
              </w:rPr>
              <w:t>i</w:t>
            </w:r>
            <w:r w:rsidRPr="00F301E9">
              <w:rPr>
                <w:rFonts w:ascii="Arial" w:eastAsia="Arial" w:hAnsi="Arial" w:cs="Arial"/>
                <w:b/>
                <w:sz w:val="18"/>
                <w:szCs w:val="18"/>
                <w:lang w:val="es-ES"/>
              </w:rPr>
              <w:t>n</w:t>
            </w:r>
            <w:r w:rsidRPr="00F301E9">
              <w:rPr>
                <w:rFonts w:ascii="Arial" w:eastAsia="Arial" w:hAnsi="Arial" w:cs="Arial"/>
                <w:b/>
                <w:spacing w:val="1"/>
                <w:sz w:val="18"/>
                <w:szCs w:val="18"/>
                <w:lang w:val="es-ES"/>
              </w:rPr>
              <w:t>a</w:t>
            </w:r>
            <w:r w:rsidRPr="00F301E9">
              <w:rPr>
                <w:rFonts w:ascii="Arial" w:eastAsia="Arial" w:hAnsi="Arial" w:cs="Arial"/>
                <w:b/>
                <w:sz w:val="18"/>
                <w:szCs w:val="18"/>
                <w:lang w:val="es-ES"/>
              </w:rPr>
              <w:t>ri</w:t>
            </w:r>
            <w:r w:rsidRPr="00F301E9">
              <w:rPr>
                <w:rFonts w:ascii="Arial" w:eastAsia="Arial" w:hAnsi="Arial" w:cs="Arial"/>
                <w:b/>
                <w:spacing w:val="1"/>
                <w:sz w:val="18"/>
                <w:szCs w:val="18"/>
                <w:lang w:val="es-ES"/>
              </w:rPr>
              <w:t>a</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 xml:space="preserve"> </w:t>
            </w:r>
            <w:r w:rsidRPr="00F301E9">
              <w:rPr>
                <w:rFonts w:ascii="Arial" w:eastAsia="Arial" w:hAnsi="Arial" w:cs="Arial"/>
                <w:b/>
                <w:spacing w:val="-1"/>
                <w:sz w:val="18"/>
                <w:szCs w:val="18"/>
                <w:lang w:val="es-ES"/>
              </w:rPr>
              <w:t>O</w:t>
            </w:r>
            <w:r w:rsidRPr="00F301E9">
              <w:rPr>
                <w:rFonts w:ascii="Arial" w:eastAsia="Arial" w:hAnsi="Arial" w:cs="Arial"/>
                <w:b/>
                <w:sz w:val="18"/>
                <w:szCs w:val="18"/>
                <w:lang w:val="es-ES"/>
              </w:rPr>
              <w:t>tros</w:t>
            </w:r>
            <w:r w:rsidRPr="00F301E9">
              <w:rPr>
                <w:rFonts w:ascii="Arial" w:eastAsia="Arial" w:hAnsi="Arial" w:cs="Arial"/>
                <w:b/>
                <w:spacing w:val="-1"/>
                <w:sz w:val="18"/>
                <w:szCs w:val="18"/>
                <w:lang w:val="es-ES"/>
              </w:rPr>
              <w:t xml:space="preserve"> </w:t>
            </w:r>
            <w:r w:rsidRPr="00F301E9">
              <w:rPr>
                <w:rFonts w:ascii="Arial" w:eastAsia="Arial" w:hAnsi="Arial" w:cs="Arial"/>
                <w:b/>
                <w:sz w:val="18"/>
                <w:szCs w:val="18"/>
                <w:lang w:val="es-ES"/>
              </w:rPr>
              <w:t>E</w:t>
            </w:r>
            <w:r w:rsidRPr="00F301E9">
              <w:rPr>
                <w:rFonts w:ascii="Arial" w:eastAsia="Arial" w:hAnsi="Arial" w:cs="Arial"/>
                <w:b/>
                <w:spacing w:val="1"/>
                <w:sz w:val="18"/>
                <w:szCs w:val="18"/>
                <w:lang w:val="es-ES"/>
              </w:rPr>
              <w:t>q</w:t>
            </w:r>
            <w:r w:rsidRPr="00F301E9">
              <w:rPr>
                <w:rFonts w:ascii="Arial" w:eastAsia="Arial" w:hAnsi="Arial" w:cs="Arial"/>
                <w:b/>
                <w:sz w:val="18"/>
                <w:szCs w:val="18"/>
                <w:lang w:val="es-ES"/>
              </w:rPr>
              <w:t>u</w:t>
            </w:r>
            <w:r w:rsidRPr="00F301E9">
              <w:rPr>
                <w:rFonts w:ascii="Arial" w:eastAsia="Arial" w:hAnsi="Arial" w:cs="Arial"/>
                <w:b/>
                <w:spacing w:val="1"/>
                <w:sz w:val="18"/>
                <w:szCs w:val="18"/>
                <w:lang w:val="es-ES"/>
              </w:rPr>
              <w:t>i</w:t>
            </w:r>
            <w:r w:rsidRPr="00F301E9">
              <w:rPr>
                <w:rFonts w:ascii="Arial" w:eastAsia="Arial" w:hAnsi="Arial" w:cs="Arial"/>
                <w:b/>
                <w:sz w:val="18"/>
                <w:szCs w:val="18"/>
                <w:lang w:val="es-ES"/>
              </w:rPr>
              <w:t>p</w:t>
            </w:r>
            <w:r w:rsidRPr="00F301E9">
              <w:rPr>
                <w:rFonts w:ascii="Arial" w:eastAsia="Arial" w:hAnsi="Arial" w:cs="Arial"/>
                <w:b/>
                <w:spacing w:val="-2"/>
                <w:sz w:val="18"/>
                <w:szCs w:val="18"/>
                <w:lang w:val="es-ES"/>
              </w:rPr>
              <w:t>o</w:t>
            </w:r>
            <w:r w:rsidRPr="00F301E9">
              <w:rPr>
                <w:rFonts w:ascii="Arial" w:eastAsia="Arial" w:hAnsi="Arial" w:cs="Arial"/>
                <w:b/>
                <w:sz w:val="18"/>
                <w:szCs w:val="18"/>
                <w:lang w:val="es-ES"/>
              </w:rPr>
              <w:t>s</w:t>
            </w:r>
            <w:r w:rsidRPr="00F301E9">
              <w:rPr>
                <w:rFonts w:ascii="Arial" w:eastAsia="Arial" w:hAnsi="Arial" w:cs="Arial"/>
                <w:b/>
                <w:spacing w:val="3"/>
                <w:sz w:val="18"/>
                <w:szCs w:val="18"/>
                <w:lang w:val="es-ES"/>
              </w:rPr>
              <w:t xml:space="preserve"> </w:t>
            </w:r>
            <w:r w:rsidRPr="00F301E9">
              <w:rPr>
                <w:rFonts w:ascii="Arial" w:eastAsia="Arial" w:hAnsi="Arial" w:cs="Arial"/>
                <w:b/>
                <w:sz w:val="18"/>
                <w:szCs w:val="18"/>
                <w:lang w:val="es-ES"/>
              </w:rPr>
              <w:t>y</w:t>
            </w:r>
            <w:r w:rsidRPr="00F301E9">
              <w:rPr>
                <w:rFonts w:ascii="Arial" w:eastAsia="Arial" w:hAnsi="Arial" w:cs="Arial"/>
                <w:b/>
                <w:spacing w:val="-4"/>
                <w:sz w:val="18"/>
                <w:szCs w:val="18"/>
                <w:lang w:val="es-ES"/>
              </w:rPr>
              <w:t xml:space="preserve"> </w:t>
            </w:r>
            <w:r w:rsidRPr="00F301E9">
              <w:rPr>
                <w:rFonts w:ascii="Arial" w:eastAsia="Arial" w:hAnsi="Arial" w:cs="Arial"/>
                <w:b/>
                <w:sz w:val="18"/>
                <w:szCs w:val="18"/>
                <w:lang w:val="es-ES"/>
              </w:rPr>
              <w:t>H</w:t>
            </w:r>
            <w:r w:rsidRPr="00F301E9">
              <w:rPr>
                <w:rFonts w:ascii="Arial" w:eastAsia="Arial" w:hAnsi="Arial" w:cs="Arial"/>
                <w:b/>
                <w:spacing w:val="1"/>
                <w:sz w:val="18"/>
                <w:szCs w:val="18"/>
                <w:lang w:val="es-ES"/>
              </w:rPr>
              <w:t>e</w:t>
            </w:r>
            <w:r w:rsidRPr="00F301E9">
              <w:rPr>
                <w:rFonts w:ascii="Arial" w:eastAsia="Arial" w:hAnsi="Arial" w:cs="Arial"/>
                <w:b/>
                <w:sz w:val="18"/>
                <w:szCs w:val="18"/>
                <w:lang w:val="es-ES"/>
              </w:rPr>
              <w:t>r</w:t>
            </w:r>
            <w:r w:rsidRPr="00F301E9">
              <w:rPr>
                <w:rFonts w:ascii="Arial" w:eastAsia="Arial" w:hAnsi="Arial" w:cs="Arial"/>
                <w:b/>
                <w:spacing w:val="-1"/>
                <w:sz w:val="18"/>
                <w:szCs w:val="18"/>
                <w:lang w:val="es-ES"/>
              </w:rPr>
              <w:t>r</w:t>
            </w:r>
            <w:r w:rsidRPr="00F301E9">
              <w:rPr>
                <w:rFonts w:ascii="Arial" w:eastAsia="Arial" w:hAnsi="Arial" w:cs="Arial"/>
                <w:b/>
                <w:spacing w:val="1"/>
                <w:sz w:val="18"/>
                <w:szCs w:val="18"/>
                <w:lang w:val="es-ES"/>
              </w:rPr>
              <w:t>am</w:t>
            </w:r>
            <w:r w:rsidRPr="00F301E9">
              <w:rPr>
                <w:rFonts w:ascii="Arial" w:eastAsia="Arial" w:hAnsi="Arial" w:cs="Arial"/>
                <w:b/>
                <w:sz w:val="18"/>
                <w:szCs w:val="18"/>
                <w:lang w:val="es-ES"/>
              </w:rPr>
              <w:t>i</w:t>
            </w:r>
            <w:r w:rsidRPr="00F301E9">
              <w:rPr>
                <w:rFonts w:ascii="Arial" w:eastAsia="Arial" w:hAnsi="Arial" w:cs="Arial"/>
                <w:b/>
                <w:spacing w:val="1"/>
                <w:sz w:val="18"/>
                <w:szCs w:val="18"/>
                <w:lang w:val="es-ES"/>
              </w:rPr>
              <w:t>e</w:t>
            </w:r>
            <w:r w:rsidRPr="00F301E9">
              <w:rPr>
                <w:rFonts w:ascii="Arial" w:eastAsia="Arial" w:hAnsi="Arial" w:cs="Arial"/>
                <w:b/>
                <w:sz w:val="18"/>
                <w:szCs w:val="18"/>
                <w:lang w:val="es-ES"/>
              </w:rPr>
              <w:t>nt</w:t>
            </w:r>
            <w:r w:rsidRPr="00F301E9">
              <w:rPr>
                <w:rFonts w:ascii="Arial" w:eastAsia="Arial" w:hAnsi="Arial" w:cs="Arial"/>
                <w:b/>
                <w:spacing w:val="-1"/>
                <w:sz w:val="18"/>
                <w:szCs w:val="18"/>
                <w:lang w:val="es-ES"/>
              </w:rPr>
              <w:t>a</w:t>
            </w:r>
            <w:r w:rsidRPr="00F301E9">
              <w:rPr>
                <w:rFonts w:ascii="Arial" w:eastAsia="Arial" w:hAnsi="Arial" w:cs="Arial"/>
                <w:b/>
                <w:sz w:val="18"/>
                <w:szCs w:val="18"/>
                <w:lang w:val="es-ES"/>
              </w:rPr>
              <w:t>s</w:t>
            </w:r>
          </w:p>
        </w:tc>
      </w:tr>
      <w:tr w:rsidR="00F301E9" w:rsidRPr="00F301E9" w:rsidTr="005D0231">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6</w:t>
            </w:r>
            <w:r w:rsidRPr="00F301E9">
              <w:rPr>
                <w:rFonts w:ascii="Arial" w:eastAsia="Arial" w:hAnsi="Arial" w:cs="Arial"/>
                <w:sz w:val="18"/>
                <w:szCs w:val="18"/>
                <w:lang w:val="es-ES"/>
              </w:rPr>
              <w:t>.1</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4"/>
                <w:sz w:val="18"/>
                <w:szCs w:val="18"/>
                <w:lang w:val="es-ES"/>
              </w:rPr>
              <w:t>M</w:t>
            </w:r>
            <w:r w:rsidRPr="00F301E9">
              <w:rPr>
                <w:rFonts w:ascii="Arial" w:eastAsia="Arial" w:hAnsi="Arial" w:cs="Arial"/>
                <w:spacing w:val="1"/>
                <w:sz w:val="18"/>
                <w:szCs w:val="18"/>
                <w:lang w:val="es-ES"/>
              </w:rPr>
              <w:t>aquina</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i</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q</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ip</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pacing w:val="-2"/>
                <w:sz w:val="18"/>
                <w:szCs w:val="18"/>
                <w:lang w:val="es-ES"/>
              </w:rPr>
              <w:t>A</w:t>
            </w:r>
            <w:r w:rsidRPr="00F301E9">
              <w:rPr>
                <w:rFonts w:ascii="Arial" w:eastAsia="Arial" w:hAnsi="Arial" w:cs="Arial"/>
                <w:spacing w:val="1"/>
                <w:sz w:val="18"/>
                <w:szCs w:val="18"/>
                <w:lang w:val="es-ES"/>
              </w:rPr>
              <w:t>g</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op</w:t>
            </w:r>
            <w:r w:rsidRPr="00F301E9">
              <w:rPr>
                <w:rFonts w:ascii="Arial" w:eastAsia="Arial" w:hAnsi="Arial" w:cs="Arial"/>
                <w:spacing w:val="-2"/>
                <w:sz w:val="18"/>
                <w:szCs w:val="18"/>
                <w:lang w:val="es-ES"/>
              </w:rPr>
              <w:t>e</w:t>
            </w:r>
            <w:r w:rsidRPr="00F301E9">
              <w:rPr>
                <w:rFonts w:ascii="Arial" w:eastAsia="Arial" w:hAnsi="Arial" w:cs="Arial"/>
                <w:spacing w:val="-1"/>
                <w:sz w:val="18"/>
                <w:szCs w:val="18"/>
                <w:lang w:val="es-ES"/>
              </w:rPr>
              <w:t>c</w:t>
            </w:r>
            <w:r w:rsidRPr="00F301E9">
              <w:rPr>
                <w:rFonts w:ascii="Arial" w:eastAsia="Arial" w:hAnsi="Arial" w:cs="Arial"/>
                <w:spacing w:val="1"/>
                <w:sz w:val="18"/>
                <w:szCs w:val="18"/>
                <w:lang w:val="es-ES"/>
              </w:rPr>
              <w:t>ua</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i</w:t>
            </w:r>
            <w:r w:rsidRPr="00F301E9">
              <w:rPr>
                <w:rFonts w:ascii="Arial" w:eastAsia="Arial" w:hAnsi="Arial" w:cs="Arial"/>
                <w:sz w:val="18"/>
                <w:szCs w:val="18"/>
                <w:lang w:val="es-ES"/>
              </w:rPr>
              <w:t>o</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268" w:right="268"/>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6</w:t>
            </w:r>
            <w:r w:rsidRPr="00F301E9">
              <w:rPr>
                <w:rFonts w:ascii="Arial" w:eastAsia="Arial" w:hAnsi="Arial" w:cs="Arial"/>
                <w:sz w:val="18"/>
                <w:szCs w:val="18"/>
                <w:lang w:val="es-ES"/>
              </w:rPr>
              <w:t>.2</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4"/>
                <w:sz w:val="18"/>
                <w:szCs w:val="18"/>
                <w:lang w:val="es-ES"/>
              </w:rPr>
              <w:t>M</w:t>
            </w:r>
            <w:r w:rsidRPr="00F301E9">
              <w:rPr>
                <w:rFonts w:ascii="Arial" w:eastAsia="Arial" w:hAnsi="Arial" w:cs="Arial"/>
                <w:spacing w:val="1"/>
                <w:sz w:val="18"/>
                <w:szCs w:val="18"/>
                <w:lang w:val="es-ES"/>
              </w:rPr>
              <w:t>aquina</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i</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q</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ip</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I</w:t>
            </w:r>
            <w:r w:rsidRPr="00F301E9">
              <w:rPr>
                <w:rFonts w:ascii="Arial" w:eastAsia="Arial" w:hAnsi="Arial" w:cs="Arial"/>
                <w:spacing w:val="1"/>
                <w:sz w:val="18"/>
                <w:szCs w:val="18"/>
                <w:lang w:val="es-ES"/>
              </w:rPr>
              <w:t>nd</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s</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l</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268" w:right="268"/>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6</w:t>
            </w:r>
            <w:r w:rsidRPr="00F301E9">
              <w:rPr>
                <w:rFonts w:ascii="Arial" w:eastAsia="Arial" w:hAnsi="Arial" w:cs="Arial"/>
                <w:sz w:val="18"/>
                <w:szCs w:val="18"/>
                <w:lang w:val="es-ES"/>
              </w:rPr>
              <w:t>.3</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4"/>
                <w:sz w:val="18"/>
                <w:szCs w:val="18"/>
                <w:lang w:val="es-ES"/>
              </w:rPr>
              <w:t>M</w:t>
            </w:r>
            <w:r w:rsidRPr="00F301E9">
              <w:rPr>
                <w:rFonts w:ascii="Arial" w:eastAsia="Arial" w:hAnsi="Arial" w:cs="Arial"/>
                <w:spacing w:val="1"/>
                <w:sz w:val="18"/>
                <w:szCs w:val="18"/>
                <w:lang w:val="es-ES"/>
              </w:rPr>
              <w:t>aquina</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i</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q</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ip</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C</w:t>
            </w:r>
            <w:r w:rsidRPr="00F301E9">
              <w:rPr>
                <w:rFonts w:ascii="Arial" w:eastAsia="Arial" w:hAnsi="Arial" w:cs="Arial"/>
                <w:spacing w:val="1"/>
                <w:sz w:val="18"/>
                <w:szCs w:val="18"/>
                <w:lang w:val="es-ES"/>
              </w:rPr>
              <w:t>o</w:t>
            </w:r>
            <w:r w:rsidRPr="00F301E9">
              <w:rPr>
                <w:rFonts w:ascii="Arial" w:eastAsia="Arial" w:hAnsi="Arial" w:cs="Arial"/>
                <w:spacing w:val="-2"/>
                <w:sz w:val="18"/>
                <w:szCs w:val="18"/>
                <w:lang w:val="es-ES"/>
              </w:rPr>
              <w:t>n</w:t>
            </w:r>
            <w:r w:rsidRPr="00F301E9">
              <w:rPr>
                <w:rFonts w:ascii="Arial" w:eastAsia="Arial" w:hAnsi="Arial" w:cs="Arial"/>
                <w:spacing w:val="1"/>
                <w:sz w:val="18"/>
                <w:szCs w:val="18"/>
                <w:lang w:val="es-ES"/>
              </w:rPr>
              <w:t>s</w:t>
            </w:r>
            <w:r w:rsidRPr="00F301E9">
              <w:rPr>
                <w:rFonts w:ascii="Arial" w:eastAsia="Arial" w:hAnsi="Arial" w:cs="Arial"/>
                <w:spacing w:val="-2"/>
                <w:sz w:val="18"/>
                <w:szCs w:val="18"/>
                <w:lang w:val="es-ES"/>
              </w:rPr>
              <w:t>t</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uc</w:t>
            </w:r>
            <w:r w:rsidRPr="00F301E9">
              <w:rPr>
                <w:rFonts w:ascii="Arial" w:eastAsia="Arial" w:hAnsi="Arial" w:cs="Arial"/>
                <w:spacing w:val="-1"/>
                <w:sz w:val="18"/>
                <w:szCs w:val="18"/>
                <w:lang w:val="es-ES"/>
              </w:rPr>
              <w:t>c</w:t>
            </w:r>
            <w:r w:rsidRPr="00F301E9">
              <w:rPr>
                <w:rFonts w:ascii="Arial" w:eastAsia="Arial" w:hAnsi="Arial" w:cs="Arial"/>
                <w:spacing w:val="1"/>
                <w:sz w:val="18"/>
                <w:szCs w:val="18"/>
                <w:lang w:val="es-ES"/>
              </w:rPr>
              <w:t>ió</w:t>
            </w:r>
            <w:r w:rsidRPr="00F301E9">
              <w:rPr>
                <w:rFonts w:ascii="Arial" w:eastAsia="Arial" w:hAnsi="Arial" w:cs="Arial"/>
                <w:sz w:val="18"/>
                <w:szCs w:val="18"/>
                <w:lang w:val="es-ES"/>
              </w:rPr>
              <w:t>n</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268" w:right="268"/>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569"/>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6" w:after="60" w:line="120" w:lineRule="exact"/>
              <w:jc w:val="both"/>
              <w:rPr>
                <w:rFonts w:ascii="GalanoGrotesque-Light" w:eastAsia="Calibri" w:hAnsi="GalanoGrotesque-Light" w:cs="Times New Roman"/>
                <w:sz w:val="12"/>
                <w:szCs w:val="12"/>
                <w:lang w:val="es-ES"/>
              </w:rPr>
            </w:pPr>
          </w:p>
          <w:p w:rsidR="00F301E9" w:rsidRPr="00F301E9" w:rsidRDefault="00F301E9" w:rsidP="00F301E9">
            <w:pPr>
              <w:spacing w:before="60"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6</w:t>
            </w:r>
            <w:r w:rsidRPr="00F301E9">
              <w:rPr>
                <w:rFonts w:ascii="Arial" w:eastAsia="Arial" w:hAnsi="Arial" w:cs="Arial"/>
                <w:sz w:val="18"/>
                <w:szCs w:val="18"/>
                <w:lang w:val="es-ES"/>
              </w:rPr>
              <w:t>.4</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3"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S</w:t>
            </w:r>
            <w:r w:rsidRPr="00F301E9">
              <w:rPr>
                <w:rFonts w:ascii="Arial" w:eastAsia="Arial" w:hAnsi="Arial" w:cs="Arial"/>
                <w:spacing w:val="1"/>
                <w:sz w:val="18"/>
                <w:szCs w:val="18"/>
                <w:lang w:val="es-ES"/>
              </w:rPr>
              <w:t>is</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e</w:t>
            </w:r>
            <w:r w:rsidRPr="00F301E9">
              <w:rPr>
                <w:rFonts w:ascii="Arial" w:eastAsia="Arial" w:hAnsi="Arial" w:cs="Arial"/>
                <w:spacing w:val="1"/>
                <w:sz w:val="18"/>
                <w:szCs w:val="18"/>
                <w:lang w:val="es-ES"/>
              </w:rPr>
              <w:t>m</w:t>
            </w:r>
            <w:r w:rsidRPr="00F301E9">
              <w:rPr>
                <w:rFonts w:ascii="Arial" w:eastAsia="Arial" w:hAnsi="Arial" w:cs="Arial"/>
                <w:spacing w:val="-2"/>
                <w:sz w:val="18"/>
                <w:szCs w:val="18"/>
                <w:lang w:val="es-ES"/>
              </w:rPr>
              <w:t>a</w:t>
            </w:r>
            <w:r w:rsidRPr="00F301E9">
              <w:rPr>
                <w:rFonts w:ascii="Arial" w:eastAsia="Arial" w:hAnsi="Arial" w:cs="Arial"/>
                <w:sz w:val="18"/>
                <w:szCs w:val="18"/>
                <w:lang w:val="es-ES"/>
              </w:rPr>
              <w:t>s</w:t>
            </w:r>
            <w:r w:rsidRPr="00F301E9">
              <w:rPr>
                <w:rFonts w:ascii="Arial" w:eastAsia="Arial" w:hAnsi="Arial" w:cs="Arial"/>
                <w:spacing w:val="40"/>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39"/>
                <w:sz w:val="18"/>
                <w:szCs w:val="18"/>
                <w:lang w:val="es-ES"/>
              </w:rPr>
              <w:t xml:space="preserve"> </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i</w:t>
            </w:r>
            <w:r w:rsidRPr="00F301E9">
              <w:rPr>
                <w:rFonts w:ascii="Arial" w:eastAsia="Arial" w:hAnsi="Arial" w:cs="Arial"/>
                <w:sz w:val="18"/>
                <w:szCs w:val="18"/>
                <w:lang w:val="es-ES"/>
              </w:rPr>
              <w:t>re</w:t>
            </w:r>
            <w:r w:rsidRPr="00F301E9">
              <w:rPr>
                <w:rFonts w:ascii="Arial" w:eastAsia="Arial" w:hAnsi="Arial" w:cs="Arial"/>
                <w:spacing w:val="39"/>
                <w:sz w:val="18"/>
                <w:szCs w:val="18"/>
                <w:lang w:val="es-ES"/>
              </w:rPr>
              <w:t xml:space="preserve"> </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c</w:t>
            </w:r>
            <w:r w:rsidRPr="00F301E9">
              <w:rPr>
                <w:rFonts w:ascii="Arial" w:eastAsia="Arial" w:hAnsi="Arial" w:cs="Arial"/>
                <w:spacing w:val="-2"/>
                <w:sz w:val="18"/>
                <w:szCs w:val="18"/>
                <w:lang w:val="es-ES"/>
              </w:rPr>
              <w:t>o</w:t>
            </w:r>
            <w:r w:rsidRPr="00F301E9">
              <w:rPr>
                <w:rFonts w:ascii="Arial" w:eastAsia="Arial" w:hAnsi="Arial" w:cs="Arial"/>
                <w:spacing w:val="1"/>
                <w:sz w:val="18"/>
                <w:szCs w:val="18"/>
                <w:lang w:val="es-ES"/>
              </w:rPr>
              <w:t>nd</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ci</w:t>
            </w:r>
            <w:r w:rsidRPr="00F301E9">
              <w:rPr>
                <w:rFonts w:ascii="Arial" w:eastAsia="Arial" w:hAnsi="Arial" w:cs="Arial"/>
                <w:spacing w:val="-2"/>
                <w:sz w:val="18"/>
                <w:szCs w:val="18"/>
                <w:lang w:val="es-ES"/>
              </w:rPr>
              <w:t>on</w:t>
            </w:r>
            <w:r w:rsidRPr="00F301E9">
              <w:rPr>
                <w:rFonts w:ascii="Arial" w:eastAsia="Arial" w:hAnsi="Arial" w:cs="Arial"/>
                <w:spacing w:val="1"/>
                <w:sz w:val="18"/>
                <w:szCs w:val="18"/>
                <w:lang w:val="es-ES"/>
              </w:rPr>
              <w:t>ado</w:t>
            </w:r>
            <w:r w:rsidRPr="00F301E9">
              <w:rPr>
                <w:rFonts w:ascii="Arial" w:eastAsia="Arial" w:hAnsi="Arial" w:cs="Arial"/>
                <w:sz w:val="18"/>
                <w:szCs w:val="18"/>
                <w:lang w:val="es-ES"/>
              </w:rPr>
              <w:t>,</w:t>
            </w:r>
            <w:r w:rsidRPr="00F301E9">
              <w:rPr>
                <w:rFonts w:ascii="Arial" w:eastAsia="Arial" w:hAnsi="Arial" w:cs="Arial"/>
                <w:spacing w:val="39"/>
                <w:sz w:val="18"/>
                <w:szCs w:val="18"/>
                <w:lang w:val="es-ES"/>
              </w:rPr>
              <w:t xml:space="preserve"> </w:t>
            </w:r>
            <w:r w:rsidRPr="00F301E9">
              <w:rPr>
                <w:rFonts w:ascii="Arial" w:eastAsia="Arial" w:hAnsi="Arial" w:cs="Arial"/>
                <w:sz w:val="18"/>
                <w:szCs w:val="18"/>
                <w:lang w:val="es-ES"/>
              </w:rPr>
              <w:t>Ca</w:t>
            </w:r>
            <w:r w:rsidRPr="00F301E9">
              <w:rPr>
                <w:rFonts w:ascii="Arial" w:eastAsia="Arial" w:hAnsi="Arial" w:cs="Arial"/>
                <w:spacing w:val="1"/>
                <w:sz w:val="18"/>
                <w:szCs w:val="18"/>
                <w:lang w:val="es-ES"/>
              </w:rPr>
              <w:t>l</w:t>
            </w:r>
            <w:r w:rsidRPr="00F301E9">
              <w:rPr>
                <w:rFonts w:ascii="Arial" w:eastAsia="Arial" w:hAnsi="Arial" w:cs="Arial"/>
                <w:spacing w:val="-2"/>
                <w:sz w:val="18"/>
                <w:szCs w:val="18"/>
                <w:lang w:val="es-ES"/>
              </w:rPr>
              <w:t>e</w:t>
            </w:r>
            <w:r w:rsidRPr="00F301E9">
              <w:rPr>
                <w:rFonts w:ascii="Arial" w:eastAsia="Arial" w:hAnsi="Arial" w:cs="Arial"/>
                <w:sz w:val="18"/>
                <w:szCs w:val="18"/>
                <w:lang w:val="es-ES"/>
              </w:rPr>
              <w:t>f</w:t>
            </w:r>
            <w:r w:rsidRPr="00F301E9">
              <w:rPr>
                <w:rFonts w:ascii="Arial" w:eastAsia="Arial" w:hAnsi="Arial" w:cs="Arial"/>
                <w:spacing w:val="1"/>
                <w:sz w:val="18"/>
                <w:szCs w:val="18"/>
                <w:lang w:val="es-ES"/>
              </w:rPr>
              <w:t>a</w:t>
            </w:r>
            <w:r w:rsidRPr="00F301E9">
              <w:rPr>
                <w:rFonts w:ascii="Arial" w:eastAsia="Arial" w:hAnsi="Arial" w:cs="Arial"/>
                <w:spacing w:val="-1"/>
                <w:sz w:val="18"/>
                <w:szCs w:val="18"/>
                <w:lang w:val="es-ES"/>
              </w:rPr>
              <w:t>c</w:t>
            </w:r>
            <w:r w:rsidRPr="00F301E9">
              <w:rPr>
                <w:rFonts w:ascii="Arial" w:eastAsia="Arial" w:hAnsi="Arial" w:cs="Arial"/>
                <w:spacing w:val="1"/>
                <w:sz w:val="18"/>
                <w:szCs w:val="18"/>
                <w:lang w:val="es-ES"/>
              </w:rPr>
              <w:t>ci</w:t>
            </w:r>
            <w:r w:rsidRPr="00F301E9">
              <w:rPr>
                <w:rFonts w:ascii="Arial" w:eastAsia="Arial" w:hAnsi="Arial" w:cs="Arial"/>
                <w:spacing w:val="-2"/>
                <w:sz w:val="18"/>
                <w:szCs w:val="18"/>
                <w:lang w:val="es-ES"/>
              </w:rPr>
              <w:t>ó</w:t>
            </w:r>
            <w:r w:rsidRPr="00F301E9">
              <w:rPr>
                <w:rFonts w:ascii="Arial" w:eastAsia="Arial" w:hAnsi="Arial" w:cs="Arial"/>
                <w:sz w:val="18"/>
                <w:szCs w:val="18"/>
                <w:lang w:val="es-ES"/>
              </w:rPr>
              <w:t>n</w:t>
            </w:r>
            <w:r w:rsidRPr="00F301E9">
              <w:rPr>
                <w:rFonts w:ascii="Arial" w:eastAsia="Arial" w:hAnsi="Arial" w:cs="Arial"/>
                <w:spacing w:val="39"/>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38"/>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46"/>
                <w:sz w:val="18"/>
                <w:szCs w:val="18"/>
                <w:lang w:val="es-ES"/>
              </w:rPr>
              <w:t xml:space="preserve"> </w:t>
            </w:r>
            <w:r w:rsidRPr="00F301E9">
              <w:rPr>
                <w:rFonts w:ascii="Arial" w:eastAsia="Arial" w:hAnsi="Arial" w:cs="Arial"/>
                <w:sz w:val="18"/>
                <w:szCs w:val="18"/>
                <w:lang w:val="es-ES"/>
              </w:rPr>
              <w:t>Re</w:t>
            </w:r>
            <w:r w:rsidRPr="00F301E9">
              <w:rPr>
                <w:rFonts w:ascii="Arial" w:eastAsia="Arial" w:hAnsi="Arial" w:cs="Arial"/>
                <w:spacing w:val="1"/>
                <w:sz w:val="18"/>
                <w:szCs w:val="18"/>
                <w:lang w:val="es-ES"/>
              </w:rPr>
              <w:t>f</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ige</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ac</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ó</w:t>
            </w:r>
            <w:r w:rsidRPr="00F301E9">
              <w:rPr>
                <w:rFonts w:ascii="Arial" w:eastAsia="Arial" w:hAnsi="Arial" w:cs="Arial"/>
                <w:sz w:val="18"/>
                <w:szCs w:val="18"/>
                <w:lang w:val="es-ES"/>
              </w:rPr>
              <w:t>n</w:t>
            </w:r>
          </w:p>
          <w:p w:rsidR="00F301E9" w:rsidRPr="00F301E9" w:rsidRDefault="00F301E9" w:rsidP="00F301E9">
            <w:pPr>
              <w:spacing w:before="21"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I</w:t>
            </w:r>
            <w:r w:rsidRPr="00F301E9">
              <w:rPr>
                <w:rFonts w:ascii="Arial" w:eastAsia="Arial" w:hAnsi="Arial" w:cs="Arial"/>
                <w:spacing w:val="1"/>
                <w:sz w:val="18"/>
                <w:szCs w:val="18"/>
                <w:lang w:val="es-ES"/>
              </w:rPr>
              <w:t>nd</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s</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i</w:t>
            </w:r>
            <w:r w:rsidRPr="00F301E9">
              <w:rPr>
                <w:rFonts w:ascii="Arial" w:eastAsia="Arial" w:hAnsi="Arial" w:cs="Arial"/>
                <w:spacing w:val="-2"/>
                <w:sz w:val="18"/>
                <w:szCs w:val="18"/>
                <w:lang w:val="es-ES"/>
              </w:rPr>
              <w:t>a</w:t>
            </w:r>
            <w:r w:rsidRPr="00F301E9">
              <w:rPr>
                <w:rFonts w:ascii="Arial" w:eastAsia="Arial" w:hAnsi="Arial" w:cs="Arial"/>
                <w:sz w:val="18"/>
                <w:szCs w:val="18"/>
                <w:lang w:val="es-ES"/>
              </w:rPr>
              <w:t>l</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C</w:t>
            </w:r>
            <w:r w:rsidRPr="00F301E9">
              <w:rPr>
                <w:rFonts w:ascii="Arial" w:eastAsia="Arial" w:hAnsi="Arial" w:cs="Arial"/>
                <w:spacing w:val="1"/>
                <w:sz w:val="18"/>
                <w:szCs w:val="18"/>
                <w:lang w:val="es-ES"/>
              </w:rPr>
              <w:t>ome</w:t>
            </w:r>
            <w:r w:rsidRPr="00F301E9">
              <w:rPr>
                <w:rFonts w:ascii="Arial" w:eastAsia="Arial" w:hAnsi="Arial" w:cs="Arial"/>
                <w:spacing w:val="-2"/>
                <w:sz w:val="18"/>
                <w:szCs w:val="18"/>
                <w:lang w:val="es-ES"/>
              </w:rPr>
              <w:t>r</w:t>
            </w:r>
            <w:r w:rsidRPr="00F301E9">
              <w:rPr>
                <w:rFonts w:ascii="Arial" w:eastAsia="Arial" w:hAnsi="Arial" w:cs="Arial"/>
                <w:spacing w:val="1"/>
                <w:sz w:val="18"/>
                <w:szCs w:val="18"/>
                <w:lang w:val="es-ES"/>
              </w:rPr>
              <w:t>c</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l</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6" w:after="60" w:line="120" w:lineRule="exact"/>
              <w:jc w:val="both"/>
              <w:rPr>
                <w:rFonts w:ascii="GalanoGrotesque-Light" w:eastAsia="Calibri" w:hAnsi="GalanoGrotesque-Light" w:cs="Times New Roman"/>
                <w:sz w:val="12"/>
                <w:szCs w:val="12"/>
                <w:lang w:val="es-ES"/>
              </w:rPr>
            </w:pPr>
          </w:p>
          <w:p w:rsidR="00F301E9" w:rsidRPr="00F301E9" w:rsidRDefault="00F301E9" w:rsidP="00F301E9">
            <w:pPr>
              <w:spacing w:before="60" w:after="60" w:line="360" w:lineRule="auto"/>
              <w:ind w:left="268" w:right="268"/>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6" w:after="60" w:line="120" w:lineRule="exact"/>
              <w:jc w:val="both"/>
              <w:rPr>
                <w:rFonts w:ascii="GalanoGrotesque-Light" w:eastAsia="Calibri" w:hAnsi="GalanoGrotesque-Light" w:cs="Times New Roman"/>
                <w:sz w:val="12"/>
                <w:szCs w:val="12"/>
                <w:lang w:val="es-ES"/>
              </w:rPr>
            </w:pPr>
          </w:p>
          <w:p w:rsidR="00F301E9" w:rsidRPr="00F301E9" w:rsidRDefault="00F301E9" w:rsidP="00F301E9">
            <w:pPr>
              <w:spacing w:before="60" w:after="60" w:line="360" w:lineRule="auto"/>
              <w:ind w:left="521" w:right="521"/>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6</w:t>
            </w:r>
            <w:r w:rsidRPr="00F301E9">
              <w:rPr>
                <w:rFonts w:ascii="Arial" w:eastAsia="Arial" w:hAnsi="Arial" w:cs="Arial"/>
                <w:sz w:val="18"/>
                <w:szCs w:val="18"/>
                <w:lang w:val="es-ES"/>
              </w:rPr>
              <w:t>.5</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w:t>
            </w:r>
            <w:r w:rsidRPr="00F301E9">
              <w:rPr>
                <w:rFonts w:ascii="Arial" w:eastAsia="Arial" w:hAnsi="Arial" w:cs="Arial"/>
                <w:spacing w:val="1"/>
                <w:sz w:val="18"/>
                <w:szCs w:val="18"/>
                <w:lang w:val="es-ES"/>
              </w:rPr>
              <w:t>quip</w:t>
            </w:r>
            <w:r w:rsidRPr="00F301E9">
              <w:rPr>
                <w:rFonts w:ascii="Arial" w:eastAsia="Arial" w:hAnsi="Arial" w:cs="Arial"/>
                <w:sz w:val="18"/>
                <w:szCs w:val="18"/>
                <w:lang w:val="es-ES"/>
              </w:rPr>
              <w:t>o</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C</w:t>
            </w:r>
            <w:r w:rsidRPr="00F301E9">
              <w:rPr>
                <w:rFonts w:ascii="Arial" w:eastAsia="Arial" w:hAnsi="Arial" w:cs="Arial"/>
                <w:spacing w:val="-2"/>
                <w:sz w:val="18"/>
                <w:szCs w:val="18"/>
                <w:lang w:val="es-ES"/>
              </w:rPr>
              <w:t>o</w:t>
            </w:r>
            <w:r w:rsidRPr="00F301E9">
              <w:rPr>
                <w:rFonts w:ascii="Arial" w:eastAsia="Arial" w:hAnsi="Arial" w:cs="Arial"/>
                <w:spacing w:val="1"/>
                <w:sz w:val="18"/>
                <w:szCs w:val="18"/>
                <w:lang w:val="es-ES"/>
              </w:rPr>
              <w:t>m</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ni</w:t>
            </w:r>
            <w:r w:rsidRPr="00F301E9">
              <w:rPr>
                <w:rFonts w:ascii="Arial" w:eastAsia="Arial" w:hAnsi="Arial" w:cs="Arial"/>
                <w:spacing w:val="-1"/>
                <w:sz w:val="18"/>
                <w:szCs w:val="18"/>
                <w:lang w:val="es-ES"/>
              </w:rPr>
              <w:t>c</w:t>
            </w:r>
            <w:r w:rsidRPr="00F301E9">
              <w:rPr>
                <w:rFonts w:ascii="Arial" w:eastAsia="Arial" w:hAnsi="Arial" w:cs="Arial"/>
                <w:spacing w:val="1"/>
                <w:sz w:val="18"/>
                <w:szCs w:val="18"/>
                <w:lang w:val="es-ES"/>
              </w:rPr>
              <w:t>a</w:t>
            </w:r>
            <w:r w:rsidRPr="00F301E9">
              <w:rPr>
                <w:rFonts w:ascii="Arial" w:eastAsia="Arial" w:hAnsi="Arial" w:cs="Arial"/>
                <w:spacing w:val="-1"/>
                <w:sz w:val="18"/>
                <w:szCs w:val="18"/>
                <w:lang w:val="es-ES"/>
              </w:rPr>
              <w:t>c</w:t>
            </w:r>
            <w:r w:rsidRPr="00F301E9">
              <w:rPr>
                <w:rFonts w:ascii="Arial" w:eastAsia="Arial" w:hAnsi="Arial" w:cs="Arial"/>
                <w:spacing w:val="1"/>
                <w:sz w:val="18"/>
                <w:szCs w:val="18"/>
                <w:lang w:val="es-ES"/>
              </w:rPr>
              <w:t>ió</w:t>
            </w:r>
            <w:r w:rsidRPr="00F301E9">
              <w:rPr>
                <w:rFonts w:ascii="Arial" w:eastAsia="Arial" w:hAnsi="Arial" w:cs="Arial"/>
                <w:sz w:val="18"/>
                <w:szCs w:val="18"/>
                <w:lang w:val="es-ES"/>
              </w:rPr>
              <w:t>n</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pacing w:val="-2"/>
                <w:sz w:val="18"/>
                <w:szCs w:val="18"/>
                <w:lang w:val="es-ES"/>
              </w:rPr>
              <w:t>T</w:t>
            </w:r>
            <w:r w:rsidRPr="00F301E9">
              <w:rPr>
                <w:rFonts w:ascii="Arial" w:eastAsia="Arial" w:hAnsi="Arial" w:cs="Arial"/>
                <w:spacing w:val="1"/>
                <w:sz w:val="18"/>
                <w:szCs w:val="18"/>
                <w:lang w:val="es-ES"/>
              </w:rPr>
              <w:t>e</w:t>
            </w:r>
            <w:r w:rsidRPr="00F301E9">
              <w:rPr>
                <w:rFonts w:ascii="Arial" w:eastAsia="Arial" w:hAnsi="Arial" w:cs="Arial"/>
                <w:spacing w:val="-2"/>
                <w:sz w:val="18"/>
                <w:szCs w:val="18"/>
                <w:lang w:val="es-ES"/>
              </w:rPr>
              <w:t>l</w:t>
            </w:r>
            <w:r w:rsidRPr="00F301E9">
              <w:rPr>
                <w:rFonts w:ascii="Arial" w:eastAsia="Arial" w:hAnsi="Arial" w:cs="Arial"/>
                <w:spacing w:val="1"/>
                <w:sz w:val="18"/>
                <w:szCs w:val="18"/>
                <w:lang w:val="es-ES"/>
              </w:rPr>
              <w:t>ec</w:t>
            </w:r>
            <w:r w:rsidRPr="00F301E9">
              <w:rPr>
                <w:rFonts w:ascii="Arial" w:eastAsia="Arial" w:hAnsi="Arial" w:cs="Arial"/>
                <w:spacing w:val="-2"/>
                <w:sz w:val="18"/>
                <w:szCs w:val="18"/>
                <w:lang w:val="es-ES"/>
              </w:rPr>
              <w:t>o</w:t>
            </w:r>
            <w:r w:rsidRPr="00F301E9">
              <w:rPr>
                <w:rFonts w:ascii="Arial" w:eastAsia="Arial" w:hAnsi="Arial" w:cs="Arial"/>
                <w:spacing w:val="1"/>
                <w:sz w:val="18"/>
                <w:szCs w:val="18"/>
                <w:lang w:val="es-ES"/>
              </w:rPr>
              <w:t>mun</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c</w:t>
            </w:r>
            <w:r w:rsidRPr="00F301E9">
              <w:rPr>
                <w:rFonts w:ascii="Arial" w:eastAsia="Arial" w:hAnsi="Arial" w:cs="Arial"/>
                <w:spacing w:val="-2"/>
                <w:sz w:val="18"/>
                <w:szCs w:val="18"/>
                <w:lang w:val="es-ES"/>
              </w:rPr>
              <w:t>a</w:t>
            </w:r>
            <w:r w:rsidRPr="00F301E9">
              <w:rPr>
                <w:rFonts w:ascii="Arial" w:eastAsia="Arial" w:hAnsi="Arial" w:cs="Arial"/>
                <w:spacing w:val="1"/>
                <w:sz w:val="18"/>
                <w:szCs w:val="18"/>
                <w:lang w:val="es-ES"/>
              </w:rPr>
              <w:t>ci</w:t>
            </w:r>
            <w:r w:rsidRPr="00F301E9">
              <w:rPr>
                <w:rFonts w:ascii="Arial" w:eastAsia="Arial" w:hAnsi="Arial" w:cs="Arial"/>
                <w:spacing w:val="-2"/>
                <w:sz w:val="18"/>
                <w:szCs w:val="18"/>
                <w:lang w:val="es-ES"/>
              </w:rPr>
              <w:t>ó</w:t>
            </w:r>
            <w:r w:rsidRPr="00F301E9">
              <w:rPr>
                <w:rFonts w:ascii="Arial" w:eastAsia="Arial" w:hAnsi="Arial" w:cs="Arial"/>
                <w:sz w:val="18"/>
                <w:szCs w:val="18"/>
                <w:lang w:val="es-ES"/>
              </w:rPr>
              <w:t>n</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268" w:right="268"/>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6</w:t>
            </w:r>
            <w:r w:rsidRPr="00F301E9">
              <w:rPr>
                <w:rFonts w:ascii="Arial" w:eastAsia="Arial" w:hAnsi="Arial" w:cs="Arial"/>
                <w:sz w:val="18"/>
                <w:szCs w:val="18"/>
                <w:lang w:val="es-ES"/>
              </w:rPr>
              <w:t>.6</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w:t>
            </w:r>
            <w:r w:rsidRPr="00F301E9">
              <w:rPr>
                <w:rFonts w:ascii="Arial" w:eastAsia="Arial" w:hAnsi="Arial" w:cs="Arial"/>
                <w:spacing w:val="1"/>
                <w:sz w:val="18"/>
                <w:szCs w:val="18"/>
                <w:lang w:val="es-ES"/>
              </w:rPr>
              <w:t>quip</w:t>
            </w:r>
            <w:r w:rsidRPr="00F301E9">
              <w:rPr>
                <w:rFonts w:ascii="Arial" w:eastAsia="Arial" w:hAnsi="Arial" w:cs="Arial"/>
                <w:spacing w:val="-2"/>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Ge</w:t>
            </w:r>
            <w:r w:rsidRPr="00F301E9">
              <w:rPr>
                <w:rFonts w:ascii="Arial" w:eastAsia="Arial" w:hAnsi="Arial" w:cs="Arial"/>
                <w:spacing w:val="1"/>
                <w:sz w:val="18"/>
                <w:szCs w:val="18"/>
                <w:lang w:val="es-ES"/>
              </w:rPr>
              <w:t>ne</w:t>
            </w:r>
            <w:r w:rsidRPr="00F301E9">
              <w:rPr>
                <w:rFonts w:ascii="Arial" w:eastAsia="Arial" w:hAnsi="Arial" w:cs="Arial"/>
                <w:spacing w:val="-2"/>
                <w:sz w:val="18"/>
                <w:szCs w:val="18"/>
                <w:lang w:val="es-ES"/>
              </w:rPr>
              <w:t>r</w:t>
            </w:r>
            <w:r w:rsidRPr="00F301E9">
              <w:rPr>
                <w:rFonts w:ascii="Arial" w:eastAsia="Arial" w:hAnsi="Arial" w:cs="Arial"/>
                <w:spacing w:val="1"/>
                <w:sz w:val="18"/>
                <w:szCs w:val="18"/>
                <w:lang w:val="es-ES"/>
              </w:rPr>
              <w:t>ac</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ó</w:t>
            </w:r>
            <w:r w:rsidRPr="00F301E9">
              <w:rPr>
                <w:rFonts w:ascii="Arial" w:eastAsia="Arial" w:hAnsi="Arial" w:cs="Arial"/>
                <w:sz w:val="18"/>
                <w:szCs w:val="18"/>
                <w:lang w:val="es-ES"/>
              </w:rPr>
              <w:t>n</w:t>
            </w:r>
            <w:r w:rsidRPr="00F301E9">
              <w:rPr>
                <w:rFonts w:ascii="Arial" w:eastAsia="Arial" w:hAnsi="Arial" w:cs="Arial"/>
                <w:spacing w:val="1"/>
                <w:sz w:val="18"/>
                <w:szCs w:val="18"/>
                <w:lang w:val="es-ES"/>
              </w:rPr>
              <w:t xml:space="preserve"> </w:t>
            </w:r>
            <w:r w:rsidRPr="00F301E9">
              <w:rPr>
                <w:rFonts w:ascii="Arial" w:eastAsia="Arial" w:hAnsi="Arial" w:cs="Arial"/>
                <w:spacing w:val="-2"/>
                <w:sz w:val="18"/>
                <w:szCs w:val="18"/>
                <w:lang w:val="es-ES"/>
              </w:rPr>
              <w:t>E</w:t>
            </w:r>
            <w:r w:rsidRPr="00F301E9">
              <w:rPr>
                <w:rFonts w:ascii="Arial" w:eastAsia="Arial" w:hAnsi="Arial" w:cs="Arial"/>
                <w:spacing w:val="1"/>
                <w:sz w:val="18"/>
                <w:szCs w:val="18"/>
                <w:lang w:val="es-ES"/>
              </w:rPr>
              <w:t>léc</w:t>
            </w:r>
            <w:r w:rsidRPr="00F301E9">
              <w:rPr>
                <w:rFonts w:ascii="Arial" w:eastAsia="Arial" w:hAnsi="Arial" w:cs="Arial"/>
                <w:sz w:val="18"/>
                <w:szCs w:val="18"/>
                <w:lang w:val="es-ES"/>
              </w:rPr>
              <w:t>t</w:t>
            </w:r>
            <w:r w:rsidRPr="00F301E9">
              <w:rPr>
                <w:rFonts w:ascii="Arial" w:eastAsia="Arial" w:hAnsi="Arial" w:cs="Arial"/>
                <w:spacing w:val="-2"/>
                <w:sz w:val="18"/>
                <w:szCs w:val="18"/>
                <w:lang w:val="es-ES"/>
              </w:rPr>
              <w:t>ri</w:t>
            </w:r>
            <w:r w:rsidRPr="00F301E9">
              <w:rPr>
                <w:rFonts w:ascii="Arial" w:eastAsia="Arial" w:hAnsi="Arial" w:cs="Arial"/>
                <w:spacing w:val="1"/>
                <w:sz w:val="18"/>
                <w:szCs w:val="18"/>
                <w:lang w:val="es-ES"/>
              </w:rPr>
              <w:t>ca</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A</w:t>
            </w:r>
            <w:r w:rsidRPr="00F301E9">
              <w:rPr>
                <w:rFonts w:ascii="Arial" w:eastAsia="Arial" w:hAnsi="Arial" w:cs="Arial"/>
                <w:spacing w:val="-2"/>
                <w:sz w:val="18"/>
                <w:szCs w:val="18"/>
                <w:lang w:val="es-ES"/>
              </w:rPr>
              <w:t>p</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c</w:t>
            </w:r>
            <w:r w:rsidRPr="00F301E9">
              <w:rPr>
                <w:rFonts w:ascii="Arial" w:eastAsia="Arial" w:hAnsi="Arial" w:cs="Arial"/>
                <w:spacing w:val="1"/>
                <w:sz w:val="18"/>
                <w:szCs w:val="18"/>
                <w:lang w:val="es-ES"/>
              </w:rPr>
              <w:t>ce</w:t>
            </w:r>
            <w:r w:rsidRPr="00F301E9">
              <w:rPr>
                <w:rFonts w:ascii="Arial" w:eastAsia="Arial" w:hAnsi="Arial" w:cs="Arial"/>
                <w:spacing w:val="-1"/>
                <w:sz w:val="18"/>
                <w:szCs w:val="18"/>
                <w:lang w:val="es-ES"/>
              </w:rPr>
              <w:t>s</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i</w:t>
            </w:r>
            <w:r w:rsidRPr="00F301E9">
              <w:rPr>
                <w:rFonts w:ascii="Arial" w:eastAsia="Arial" w:hAnsi="Arial" w:cs="Arial"/>
                <w:spacing w:val="-2"/>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l</w:t>
            </w:r>
            <w:r w:rsidRPr="00F301E9">
              <w:rPr>
                <w:rFonts w:ascii="Arial" w:eastAsia="Arial" w:hAnsi="Arial" w:cs="Arial"/>
                <w:spacing w:val="-2"/>
                <w:sz w:val="18"/>
                <w:szCs w:val="18"/>
                <w:lang w:val="es-ES"/>
              </w:rPr>
              <w:t>é</w:t>
            </w:r>
            <w:r w:rsidRPr="00F301E9">
              <w:rPr>
                <w:rFonts w:ascii="Arial" w:eastAsia="Arial" w:hAnsi="Arial" w:cs="Arial"/>
                <w:spacing w:val="1"/>
                <w:sz w:val="18"/>
                <w:szCs w:val="18"/>
                <w:lang w:val="es-ES"/>
              </w:rPr>
              <w:t>c</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co</w:t>
            </w:r>
            <w:r w:rsidRPr="00F301E9">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268" w:right="268"/>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6</w:t>
            </w:r>
            <w:r w:rsidRPr="00F301E9">
              <w:rPr>
                <w:rFonts w:ascii="Arial" w:eastAsia="Arial" w:hAnsi="Arial" w:cs="Arial"/>
                <w:sz w:val="18"/>
                <w:szCs w:val="18"/>
                <w:lang w:val="es-ES"/>
              </w:rPr>
              <w:t>.7</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Herr</w:t>
            </w:r>
            <w:r w:rsidRPr="00F301E9">
              <w:rPr>
                <w:rFonts w:ascii="Arial" w:eastAsia="Arial" w:hAnsi="Arial" w:cs="Arial"/>
                <w:spacing w:val="1"/>
                <w:sz w:val="18"/>
                <w:szCs w:val="18"/>
                <w:lang w:val="es-ES"/>
              </w:rPr>
              <w:t>am</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en</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pacing w:val="-3"/>
                <w:sz w:val="18"/>
                <w:szCs w:val="18"/>
                <w:lang w:val="es-ES"/>
              </w:rPr>
              <w:t>M</w:t>
            </w:r>
            <w:r w:rsidRPr="00F301E9">
              <w:rPr>
                <w:rFonts w:ascii="Arial" w:eastAsia="Arial" w:hAnsi="Arial" w:cs="Arial"/>
                <w:spacing w:val="1"/>
                <w:sz w:val="18"/>
                <w:szCs w:val="18"/>
                <w:lang w:val="es-ES"/>
              </w:rPr>
              <w:t>áquina</w:t>
            </w:r>
            <w:r w:rsidRPr="00F301E9">
              <w:rPr>
                <w:rFonts w:ascii="Arial" w:eastAsia="Arial" w:hAnsi="Arial" w:cs="Arial"/>
                <w:spacing w:val="4"/>
                <w:sz w:val="18"/>
                <w:szCs w:val="18"/>
                <w:lang w:val="es-ES"/>
              </w:rPr>
              <w:t>s</w:t>
            </w:r>
            <w:r w:rsidRPr="00F301E9">
              <w:rPr>
                <w:rFonts w:ascii="Arial" w:eastAsia="Arial" w:hAnsi="Arial" w:cs="Arial"/>
                <w:sz w:val="18"/>
                <w:szCs w:val="18"/>
                <w:lang w:val="es-ES"/>
              </w:rPr>
              <w:t>-</w:t>
            </w:r>
            <w:r w:rsidRPr="00F301E9">
              <w:rPr>
                <w:rFonts w:ascii="Arial" w:eastAsia="Arial" w:hAnsi="Arial" w:cs="Arial"/>
                <w:spacing w:val="-3"/>
                <w:sz w:val="18"/>
                <w:szCs w:val="18"/>
                <w:lang w:val="es-ES"/>
              </w:rPr>
              <w:t>H</w:t>
            </w:r>
            <w:r w:rsidRPr="00F301E9">
              <w:rPr>
                <w:rFonts w:ascii="Arial" w:eastAsia="Arial" w:hAnsi="Arial" w:cs="Arial"/>
                <w:spacing w:val="1"/>
                <w:sz w:val="18"/>
                <w:szCs w:val="18"/>
                <w:lang w:val="es-ES"/>
              </w:rPr>
              <w:t>e</w:t>
            </w:r>
            <w:r w:rsidRPr="00F301E9">
              <w:rPr>
                <w:rFonts w:ascii="Arial" w:eastAsia="Arial" w:hAnsi="Arial" w:cs="Arial"/>
                <w:spacing w:val="-2"/>
                <w:sz w:val="18"/>
                <w:szCs w:val="18"/>
                <w:lang w:val="es-ES"/>
              </w:rPr>
              <w:t>r</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ami</w:t>
            </w:r>
            <w:r w:rsidRPr="00F301E9">
              <w:rPr>
                <w:rFonts w:ascii="Arial" w:eastAsia="Arial" w:hAnsi="Arial" w:cs="Arial"/>
                <w:spacing w:val="-2"/>
                <w:sz w:val="18"/>
                <w:szCs w:val="18"/>
                <w:lang w:val="es-ES"/>
              </w:rPr>
              <w:t>e</w:t>
            </w:r>
            <w:r w:rsidRPr="00F301E9">
              <w:rPr>
                <w:rFonts w:ascii="Arial" w:eastAsia="Arial" w:hAnsi="Arial" w:cs="Arial"/>
                <w:spacing w:val="1"/>
                <w:sz w:val="18"/>
                <w:szCs w:val="18"/>
                <w:lang w:val="es-ES"/>
              </w:rPr>
              <w:t>n</w:t>
            </w:r>
            <w:r w:rsidRPr="00F301E9">
              <w:rPr>
                <w:rFonts w:ascii="Arial" w:eastAsia="Arial" w:hAnsi="Arial" w:cs="Arial"/>
                <w:sz w:val="18"/>
                <w:szCs w:val="18"/>
                <w:lang w:val="es-ES"/>
              </w:rPr>
              <w:t>ta</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268" w:right="268"/>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6</w:t>
            </w:r>
            <w:r w:rsidRPr="00F301E9">
              <w:rPr>
                <w:rFonts w:ascii="Arial" w:eastAsia="Arial" w:hAnsi="Arial" w:cs="Arial"/>
                <w:sz w:val="18"/>
                <w:szCs w:val="18"/>
                <w:lang w:val="es-ES"/>
              </w:rPr>
              <w:t>.9</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O</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q</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ip</w:t>
            </w:r>
            <w:r w:rsidRPr="00F301E9">
              <w:rPr>
                <w:rFonts w:ascii="Arial" w:eastAsia="Arial" w:hAnsi="Arial" w:cs="Arial"/>
                <w:spacing w:val="-2"/>
                <w:sz w:val="18"/>
                <w:szCs w:val="18"/>
                <w:lang w:val="es-ES"/>
              </w:rPr>
              <w:t>o</w:t>
            </w:r>
            <w:r w:rsidRPr="00F301E9">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268" w:right="268"/>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10</w:t>
            </w:r>
          </w:p>
        </w:tc>
      </w:tr>
      <w:tr w:rsidR="00F301E9" w:rsidRPr="00F301E9" w:rsidTr="005D0231">
        <w:trPr>
          <w:trHeight w:hRule="exact" w:val="97"/>
        </w:trPr>
        <w:tc>
          <w:tcPr>
            <w:tcW w:w="8912" w:type="dxa"/>
            <w:gridSpan w:val="10"/>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b/>
                <w:spacing w:val="1"/>
                <w:sz w:val="18"/>
                <w:szCs w:val="18"/>
                <w:lang w:val="es-ES"/>
              </w:rPr>
              <w:t>1</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2</w:t>
            </w:r>
            <w:r w:rsidRPr="00F301E9">
              <w:rPr>
                <w:rFonts w:ascii="Arial" w:eastAsia="Arial" w:hAnsi="Arial" w:cs="Arial"/>
                <w:b/>
                <w:sz w:val="18"/>
                <w:szCs w:val="18"/>
                <w:lang w:val="es-ES"/>
              </w:rPr>
              <w:t>.</w:t>
            </w:r>
            <w:r w:rsidRPr="00F301E9">
              <w:rPr>
                <w:rFonts w:ascii="Arial" w:eastAsia="Arial" w:hAnsi="Arial" w:cs="Arial"/>
                <w:b/>
                <w:spacing w:val="1"/>
                <w:sz w:val="18"/>
                <w:szCs w:val="18"/>
                <w:lang w:val="es-ES"/>
              </w:rPr>
              <w:t>4</w:t>
            </w:r>
            <w:r w:rsidRPr="00F301E9">
              <w:rPr>
                <w:rFonts w:ascii="Arial" w:eastAsia="Arial" w:hAnsi="Arial" w:cs="Arial"/>
                <w:b/>
                <w:spacing w:val="-2"/>
                <w:sz w:val="18"/>
                <w:szCs w:val="18"/>
                <w:lang w:val="es-ES"/>
              </w:rPr>
              <w:t>.</w:t>
            </w:r>
            <w:r w:rsidRPr="00F301E9">
              <w:rPr>
                <w:rFonts w:ascii="Arial" w:eastAsia="Arial" w:hAnsi="Arial" w:cs="Arial"/>
                <w:b/>
                <w:sz w:val="18"/>
                <w:szCs w:val="18"/>
                <w:lang w:val="es-ES"/>
              </w:rPr>
              <w:t>8</w:t>
            </w:r>
          </w:p>
        </w:tc>
        <w:tc>
          <w:tcPr>
            <w:tcW w:w="7930" w:type="dxa"/>
            <w:gridSpan w:val="8"/>
            <w:tcBorders>
              <w:top w:val="single" w:sz="7" w:space="0" w:color="000000"/>
              <w:left w:val="single" w:sz="7" w:space="0" w:color="000000"/>
              <w:bottom w:val="nil"/>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b/>
                <w:spacing w:val="-3"/>
                <w:sz w:val="18"/>
                <w:szCs w:val="18"/>
                <w:lang w:val="es-ES"/>
              </w:rPr>
              <w:t>A</w:t>
            </w:r>
            <w:r w:rsidRPr="00F301E9">
              <w:rPr>
                <w:rFonts w:ascii="Arial" w:eastAsia="Arial" w:hAnsi="Arial" w:cs="Arial"/>
                <w:b/>
                <w:spacing w:val="1"/>
                <w:sz w:val="18"/>
                <w:szCs w:val="18"/>
                <w:lang w:val="es-ES"/>
              </w:rPr>
              <w:t>c</w:t>
            </w:r>
            <w:r w:rsidRPr="00F301E9">
              <w:rPr>
                <w:rFonts w:ascii="Arial" w:eastAsia="Arial" w:hAnsi="Arial" w:cs="Arial"/>
                <w:b/>
                <w:sz w:val="18"/>
                <w:szCs w:val="18"/>
                <w:lang w:val="es-ES"/>
              </w:rPr>
              <w:t>ti</w:t>
            </w:r>
            <w:r w:rsidRPr="00F301E9">
              <w:rPr>
                <w:rFonts w:ascii="Arial" w:eastAsia="Arial" w:hAnsi="Arial" w:cs="Arial"/>
                <w:b/>
                <w:spacing w:val="-1"/>
                <w:sz w:val="18"/>
                <w:szCs w:val="18"/>
                <w:lang w:val="es-ES"/>
              </w:rPr>
              <w:t>v</w:t>
            </w:r>
            <w:r w:rsidRPr="00F301E9">
              <w:rPr>
                <w:rFonts w:ascii="Arial" w:eastAsia="Arial" w:hAnsi="Arial" w:cs="Arial"/>
                <w:b/>
                <w:sz w:val="18"/>
                <w:szCs w:val="18"/>
                <w:lang w:val="es-ES"/>
              </w:rPr>
              <w:t>os</w:t>
            </w:r>
            <w:r w:rsidRPr="00F301E9">
              <w:rPr>
                <w:rFonts w:ascii="Arial" w:eastAsia="Arial" w:hAnsi="Arial" w:cs="Arial"/>
                <w:b/>
                <w:spacing w:val="1"/>
                <w:sz w:val="18"/>
                <w:szCs w:val="18"/>
                <w:lang w:val="es-ES"/>
              </w:rPr>
              <w:t xml:space="preserve"> </w:t>
            </w:r>
            <w:r w:rsidRPr="00F301E9">
              <w:rPr>
                <w:rFonts w:ascii="Arial" w:eastAsia="Arial" w:hAnsi="Arial" w:cs="Arial"/>
                <w:b/>
                <w:sz w:val="18"/>
                <w:szCs w:val="18"/>
                <w:lang w:val="es-ES"/>
              </w:rPr>
              <w:t>Bi</w:t>
            </w:r>
            <w:r w:rsidRPr="00F301E9">
              <w:rPr>
                <w:rFonts w:ascii="Arial" w:eastAsia="Arial" w:hAnsi="Arial" w:cs="Arial"/>
                <w:b/>
                <w:spacing w:val="1"/>
                <w:sz w:val="18"/>
                <w:szCs w:val="18"/>
                <w:lang w:val="es-ES"/>
              </w:rPr>
              <w:t>o</w:t>
            </w:r>
            <w:r w:rsidRPr="00F301E9">
              <w:rPr>
                <w:rFonts w:ascii="Arial" w:eastAsia="Arial" w:hAnsi="Arial" w:cs="Arial"/>
                <w:b/>
                <w:sz w:val="18"/>
                <w:szCs w:val="18"/>
                <w:lang w:val="es-ES"/>
              </w:rPr>
              <w:t>l</w:t>
            </w:r>
            <w:r w:rsidRPr="00F301E9">
              <w:rPr>
                <w:rFonts w:ascii="Arial" w:eastAsia="Arial" w:hAnsi="Arial" w:cs="Arial"/>
                <w:b/>
                <w:spacing w:val="1"/>
                <w:sz w:val="18"/>
                <w:szCs w:val="18"/>
                <w:lang w:val="es-ES"/>
              </w:rPr>
              <w:t>ó</w:t>
            </w:r>
            <w:r w:rsidRPr="00F301E9">
              <w:rPr>
                <w:rFonts w:ascii="Arial" w:eastAsia="Arial" w:hAnsi="Arial" w:cs="Arial"/>
                <w:b/>
                <w:sz w:val="18"/>
                <w:szCs w:val="18"/>
                <w:lang w:val="es-ES"/>
              </w:rPr>
              <w:t>g</w:t>
            </w:r>
            <w:r w:rsidRPr="00F301E9">
              <w:rPr>
                <w:rFonts w:ascii="Arial" w:eastAsia="Arial" w:hAnsi="Arial" w:cs="Arial"/>
                <w:b/>
                <w:spacing w:val="1"/>
                <w:sz w:val="18"/>
                <w:szCs w:val="18"/>
                <w:lang w:val="es-ES"/>
              </w:rPr>
              <w:t>ic</w:t>
            </w:r>
            <w:r w:rsidRPr="00F301E9">
              <w:rPr>
                <w:rFonts w:ascii="Arial" w:eastAsia="Arial" w:hAnsi="Arial" w:cs="Arial"/>
                <w:b/>
                <w:sz w:val="18"/>
                <w:szCs w:val="18"/>
                <w:lang w:val="es-ES"/>
              </w:rPr>
              <w:t>os</w:t>
            </w:r>
          </w:p>
        </w:tc>
      </w:tr>
      <w:tr w:rsidR="00F301E9" w:rsidRPr="00F301E9" w:rsidTr="005D0231">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8</w:t>
            </w:r>
            <w:r w:rsidRPr="00F301E9">
              <w:rPr>
                <w:rFonts w:ascii="Arial" w:eastAsia="Arial" w:hAnsi="Arial" w:cs="Arial"/>
                <w:sz w:val="18"/>
                <w:szCs w:val="18"/>
                <w:lang w:val="es-ES"/>
              </w:rPr>
              <w:t>.1</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B</w:t>
            </w:r>
            <w:r w:rsidRPr="00F301E9">
              <w:rPr>
                <w:rFonts w:ascii="Arial" w:eastAsia="Arial" w:hAnsi="Arial" w:cs="Arial"/>
                <w:spacing w:val="1"/>
                <w:sz w:val="18"/>
                <w:szCs w:val="18"/>
                <w:lang w:val="es-ES"/>
              </w:rPr>
              <w:t>o</w:t>
            </w:r>
            <w:r w:rsidRPr="00F301E9">
              <w:rPr>
                <w:rFonts w:ascii="Arial" w:eastAsia="Arial" w:hAnsi="Arial" w:cs="Arial"/>
                <w:spacing w:val="-1"/>
                <w:sz w:val="18"/>
                <w:szCs w:val="18"/>
                <w:lang w:val="es-ES"/>
              </w:rPr>
              <w:t>v</w:t>
            </w:r>
            <w:r w:rsidRPr="00F301E9">
              <w:rPr>
                <w:rFonts w:ascii="Arial" w:eastAsia="Arial" w:hAnsi="Arial" w:cs="Arial"/>
                <w:spacing w:val="1"/>
                <w:sz w:val="18"/>
                <w:szCs w:val="18"/>
                <w:lang w:val="es-ES"/>
              </w:rPr>
              <w:t>ino</w:t>
            </w:r>
            <w:r w:rsidRPr="00F301E9">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318" w:right="319"/>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8</w:t>
            </w:r>
            <w:r w:rsidRPr="00F301E9">
              <w:rPr>
                <w:rFonts w:ascii="Arial" w:eastAsia="Arial" w:hAnsi="Arial" w:cs="Arial"/>
                <w:sz w:val="18"/>
                <w:szCs w:val="18"/>
                <w:lang w:val="es-ES"/>
              </w:rPr>
              <w:t>.2</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P</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ci</w:t>
            </w:r>
            <w:r w:rsidRPr="00F301E9">
              <w:rPr>
                <w:rFonts w:ascii="Arial" w:eastAsia="Arial" w:hAnsi="Arial" w:cs="Arial"/>
                <w:spacing w:val="-2"/>
                <w:sz w:val="18"/>
                <w:szCs w:val="18"/>
                <w:lang w:val="es-ES"/>
              </w:rPr>
              <w:t>n</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318" w:right="319"/>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8</w:t>
            </w:r>
            <w:r w:rsidRPr="00F301E9">
              <w:rPr>
                <w:rFonts w:ascii="Arial" w:eastAsia="Arial" w:hAnsi="Arial" w:cs="Arial"/>
                <w:sz w:val="18"/>
                <w:szCs w:val="18"/>
                <w:lang w:val="es-ES"/>
              </w:rPr>
              <w:t>.3</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A</w:t>
            </w:r>
            <w:r w:rsidRPr="00F301E9">
              <w:rPr>
                <w:rFonts w:ascii="Arial" w:eastAsia="Arial" w:hAnsi="Arial" w:cs="Arial"/>
                <w:spacing w:val="-1"/>
                <w:sz w:val="18"/>
                <w:szCs w:val="18"/>
                <w:lang w:val="es-ES"/>
              </w:rPr>
              <w:t>v</w:t>
            </w:r>
            <w:r w:rsidRPr="00F301E9">
              <w:rPr>
                <w:rFonts w:ascii="Arial" w:eastAsia="Arial" w:hAnsi="Arial" w:cs="Arial"/>
                <w:spacing w:val="1"/>
                <w:sz w:val="18"/>
                <w:szCs w:val="18"/>
                <w:lang w:val="es-ES"/>
              </w:rPr>
              <w:t>e</w:t>
            </w:r>
            <w:r w:rsidRPr="00F301E9">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318" w:right="319"/>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8</w:t>
            </w:r>
            <w:r w:rsidRPr="00F301E9">
              <w:rPr>
                <w:rFonts w:ascii="Arial" w:eastAsia="Arial" w:hAnsi="Arial" w:cs="Arial"/>
                <w:sz w:val="18"/>
                <w:szCs w:val="18"/>
                <w:lang w:val="es-ES"/>
              </w:rPr>
              <w:t>.4</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Ov</w:t>
            </w:r>
            <w:r w:rsidRPr="00F301E9">
              <w:rPr>
                <w:rFonts w:ascii="Arial" w:eastAsia="Arial" w:hAnsi="Arial" w:cs="Arial"/>
                <w:spacing w:val="1"/>
                <w:sz w:val="18"/>
                <w:szCs w:val="18"/>
                <w:lang w:val="es-ES"/>
              </w:rPr>
              <w:t>ino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C</w:t>
            </w:r>
            <w:r w:rsidRPr="00F301E9">
              <w:rPr>
                <w:rFonts w:ascii="Arial" w:eastAsia="Arial" w:hAnsi="Arial" w:cs="Arial"/>
                <w:spacing w:val="1"/>
                <w:sz w:val="18"/>
                <w:szCs w:val="18"/>
                <w:lang w:val="es-ES"/>
              </w:rPr>
              <w:t>ap</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i</w:t>
            </w:r>
            <w:r w:rsidRPr="00F301E9">
              <w:rPr>
                <w:rFonts w:ascii="Arial" w:eastAsia="Arial" w:hAnsi="Arial" w:cs="Arial"/>
                <w:spacing w:val="-2"/>
                <w:sz w:val="18"/>
                <w:szCs w:val="18"/>
                <w:lang w:val="es-ES"/>
              </w:rPr>
              <w:t>n</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318" w:right="319"/>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8</w:t>
            </w:r>
            <w:r w:rsidRPr="00F301E9">
              <w:rPr>
                <w:rFonts w:ascii="Arial" w:eastAsia="Arial" w:hAnsi="Arial" w:cs="Arial"/>
                <w:sz w:val="18"/>
                <w:szCs w:val="18"/>
                <w:lang w:val="es-ES"/>
              </w:rPr>
              <w:t>.5</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P</w:t>
            </w:r>
            <w:r w:rsidRPr="00F301E9">
              <w:rPr>
                <w:rFonts w:ascii="Arial" w:eastAsia="Arial" w:hAnsi="Arial" w:cs="Arial"/>
                <w:spacing w:val="1"/>
                <w:sz w:val="18"/>
                <w:szCs w:val="18"/>
                <w:lang w:val="es-ES"/>
              </w:rPr>
              <w:t>ec</w:t>
            </w:r>
            <w:r w:rsidRPr="00F301E9">
              <w:rPr>
                <w:rFonts w:ascii="Arial" w:eastAsia="Arial" w:hAnsi="Arial" w:cs="Arial"/>
                <w:spacing w:val="-2"/>
                <w:sz w:val="18"/>
                <w:szCs w:val="18"/>
                <w:lang w:val="es-ES"/>
              </w:rPr>
              <w:t>e</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cu</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c</w:t>
            </w:r>
            <w:r w:rsidRPr="00F301E9">
              <w:rPr>
                <w:rFonts w:ascii="Arial" w:eastAsia="Arial" w:hAnsi="Arial" w:cs="Arial"/>
                <w:spacing w:val="-2"/>
                <w:sz w:val="18"/>
                <w:szCs w:val="18"/>
                <w:lang w:val="es-ES"/>
              </w:rPr>
              <w:t>u</w:t>
            </w:r>
            <w:r w:rsidRPr="00F301E9">
              <w:rPr>
                <w:rFonts w:ascii="Arial" w:eastAsia="Arial" w:hAnsi="Arial" w:cs="Arial"/>
                <w:spacing w:val="1"/>
                <w:sz w:val="18"/>
                <w:szCs w:val="18"/>
                <w:lang w:val="es-ES"/>
              </w:rPr>
              <w:t>l</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u</w:t>
            </w:r>
            <w:r w:rsidRPr="00F301E9">
              <w:rPr>
                <w:rFonts w:ascii="Arial" w:eastAsia="Arial" w:hAnsi="Arial" w:cs="Arial"/>
                <w:sz w:val="18"/>
                <w:szCs w:val="18"/>
                <w:lang w:val="es-ES"/>
              </w:rPr>
              <w:t>ra</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318" w:right="319"/>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8</w:t>
            </w:r>
            <w:r w:rsidRPr="00F301E9">
              <w:rPr>
                <w:rFonts w:ascii="Arial" w:eastAsia="Arial" w:hAnsi="Arial" w:cs="Arial"/>
                <w:sz w:val="18"/>
                <w:szCs w:val="18"/>
                <w:lang w:val="es-ES"/>
              </w:rPr>
              <w:t>.6</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w:t>
            </w:r>
            <w:r w:rsidRPr="00F301E9">
              <w:rPr>
                <w:rFonts w:ascii="Arial" w:eastAsia="Arial" w:hAnsi="Arial" w:cs="Arial"/>
                <w:spacing w:val="1"/>
                <w:sz w:val="18"/>
                <w:szCs w:val="18"/>
                <w:lang w:val="es-ES"/>
              </w:rPr>
              <w:t>quin</w:t>
            </w:r>
            <w:r w:rsidRPr="00F301E9">
              <w:rPr>
                <w:rFonts w:ascii="Arial" w:eastAsia="Arial" w:hAnsi="Arial" w:cs="Arial"/>
                <w:spacing w:val="-2"/>
                <w:sz w:val="18"/>
                <w:szCs w:val="18"/>
                <w:lang w:val="es-ES"/>
              </w:rPr>
              <w:t>o</w:t>
            </w:r>
            <w:r w:rsidRPr="00F301E9">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318" w:right="319"/>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8</w:t>
            </w:r>
            <w:r w:rsidRPr="00F301E9">
              <w:rPr>
                <w:rFonts w:ascii="Arial" w:eastAsia="Arial" w:hAnsi="Arial" w:cs="Arial"/>
                <w:sz w:val="18"/>
                <w:szCs w:val="18"/>
                <w:lang w:val="es-ES"/>
              </w:rPr>
              <w:t>.7</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E</w:t>
            </w:r>
            <w:r w:rsidRPr="00F301E9">
              <w:rPr>
                <w:rFonts w:ascii="Arial" w:eastAsia="Arial" w:hAnsi="Arial" w:cs="Arial"/>
                <w:spacing w:val="1"/>
                <w:sz w:val="18"/>
                <w:szCs w:val="18"/>
                <w:lang w:val="es-ES"/>
              </w:rPr>
              <w:t>sp</w:t>
            </w:r>
            <w:r w:rsidRPr="00F301E9">
              <w:rPr>
                <w:rFonts w:ascii="Arial" w:eastAsia="Arial" w:hAnsi="Arial" w:cs="Arial"/>
                <w:spacing w:val="-2"/>
                <w:sz w:val="18"/>
                <w:szCs w:val="18"/>
                <w:lang w:val="es-ES"/>
              </w:rPr>
              <w:t>e</w:t>
            </w:r>
            <w:r w:rsidRPr="00F301E9">
              <w:rPr>
                <w:rFonts w:ascii="Arial" w:eastAsia="Arial" w:hAnsi="Arial" w:cs="Arial"/>
                <w:spacing w:val="1"/>
                <w:sz w:val="18"/>
                <w:szCs w:val="18"/>
                <w:lang w:val="es-ES"/>
              </w:rPr>
              <w:t>ci</w:t>
            </w:r>
            <w:r w:rsidRPr="00F301E9">
              <w:rPr>
                <w:rFonts w:ascii="Arial" w:eastAsia="Arial" w:hAnsi="Arial" w:cs="Arial"/>
                <w:spacing w:val="-2"/>
                <w:sz w:val="18"/>
                <w:szCs w:val="18"/>
                <w:lang w:val="es-ES"/>
              </w:rPr>
              <w:t>e</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pacing w:val="-3"/>
                <w:sz w:val="18"/>
                <w:szCs w:val="18"/>
                <w:lang w:val="es-ES"/>
              </w:rPr>
              <w:t>M</w:t>
            </w:r>
            <w:r w:rsidRPr="00F301E9">
              <w:rPr>
                <w:rFonts w:ascii="Arial" w:eastAsia="Arial" w:hAnsi="Arial" w:cs="Arial"/>
                <w:spacing w:val="1"/>
                <w:sz w:val="18"/>
                <w:szCs w:val="18"/>
                <w:lang w:val="es-ES"/>
              </w:rPr>
              <w:t>eno</w:t>
            </w:r>
            <w:r w:rsidRPr="00F301E9">
              <w:rPr>
                <w:rFonts w:ascii="Arial" w:eastAsia="Arial" w:hAnsi="Arial" w:cs="Arial"/>
                <w:sz w:val="18"/>
                <w:szCs w:val="18"/>
                <w:lang w:val="es-ES"/>
              </w:rPr>
              <w:t>r</w:t>
            </w:r>
            <w:r w:rsidRPr="00F301E9">
              <w:rPr>
                <w:rFonts w:ascii="Arial" w:eastAsia="Arial" w:hAnsi="Arial" w:cs="Arial"/>
                <w:spacing w:val="1"/>
                <w:sz w:val="18"/>
                <w:szCs w:val="18"/>
                <w:lang w:val="es-ES"/>
              </w:rPr>
              <w:t>e</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d</w:t>
            </w:r>
            <w:r w:rsidRPr="00F301E9">
              <w:rPr>
                <w:rFonts w:ascii="Arial" w:eastAsia="Arial" w:hAnsi="Arial" w:cs="Arial"/>
                <w:sz w:val="18"/>
                <w:szCs w:val="18"/>
                <w:lang w:val="es-ES"/>
              </w:rPr>
              <w:t>e</w:t>
            </w:r>
            <w:r w:rsidRPr="00F301E9">
              <w:rPr>
                <w:rFonts w:ascii="Arial" w:eastAsia="Arial" w:hAnsi="Arial" w:cs="Arial"/>
                <w:spacing w:val="-1"/>
                <w:sz w:val="18"/>
                <w:szCs w:val="18"/>
                <w:lang w:val="es-ES"/>
              </w:rPr>
              <w:t xml:space="preserve"> </w:t>
            </w:r>
            <w:r w:rsidRPr="00F301E9">
              <w:rPr>
                <w:rFonts w:ascii="Arial" w:eastAsia="Arial" w:hAnsi="Arial" w:cs="Arial"/>
                <w:spacing w:val="1"/>
                <w:sz w:val="18"/>
                <w:szCs w:val="18"/>
                <w:lang w:val="es-ES"/>
              </w:rPr>
              <w:t>Zo</w:t>
            </w:r>
            <w:r w:rsidRPr="00F301E9">
              <w:rPr>
                <w:rFonts w:ascii="Arial" w:eastAsia="Arial" w:hAnsi="Arial" w:cs="Arial"/>
                <w:spacing w:val="-2"/>
                <w:sz w:val="18"/>
                <w:szCs w:val="18"/>
                <w:lang w:val="es-ES"/>
              </w:rPr>
              <w:t>o</w:t>
            </w:r>
            <w:r w:rsidRPr="00F301E9">
              <w:rPr>
                <w:rFonts w:ascii="Arial" w:eastAsia="Arial" w:hAnsi="Arial" w:cs="Arial"/>
                <w:spacing w:val="1"/>
                <w:sz w:val="18"/>
                <w:szCs w:val="18"/>
                <w:lang w:val="es-ES"/>
              </w:rPr>
              <w:t>l</w:t>
            </w:r>
            <w:r w:rsidRPr="00F301E9">
              <w:rPr>
                <w:rFonts w:ascii="Arial" w:eastAsia="Arial" w:hAnsi="Arial" w:cs="Arial"/>
                <w:spacing w:val="-2"/>
                <w:sz w:val="18"/>
                <w:szCs w:val="18"/>
                <w:lang w:val="es-ES"/>
              </w:rPr>
              <w:t>ó</w:t>
            </w:r>
            <w:r w:rsidRPr="00F301E9">
              <w:rPr>
                <w:rFonts w:ascii="Arial" w:eastAsia="Arial" w:hAnsi="Arial" w:cs="Arial"/>
                <w:spacing w:val="1"/>
                <w:sz w:val="18"/>
                <w:szCs w:val="18"/>
                <w:lang w:val="es-ES"/>
              </w:rPr>
              <w:t>gic</w:t>
            </w:r>
            <w:r w:rsidRPr="00F301E9">
              <w:rPr>
                <w:rFonts w:ascii="Arial" w:eastAsia="Arial" w:hAnsi="Arial" w:cs="Arial"/>
                <w:sz w:val="18"/>
                <w:szCs w:val="18"/>
                <w:lang w:val="es-ES"/>
              </w:rPr>
              <w:t>o</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318" w:right="319"/>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w:t>
            </w:r>
            <w:r w:rsidRPr="00F301E9">
              <w:rPr>
                <w:rFonts w:ascii="Arial" w:eastAsia="Arial" w:hAnsi="Arial" w:cs="Arial"/>
                <w:sz w:val="18"/>
                <w:szCs w:val="18"/>
                <w:lang w:val="es-ES"/>
              </w:rPr>
              <w:t>0</w:t>
            </w: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8</w:t>
            </w:r>
            <w:r w:rsidRPr="00F301E9">
              <w:rPr>
                <w:rFonts w:ascii="Arial" w:eastAsia="Arial" w:hAnsi="Arial" w:cs="Arial"/>
                <w:sz w:val="18"/>
                <w:szCs w:val="18"/>
                <w:lang w:val="es-ES"/>
              </w:rPr>
              <w:t>.8</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64"/>
              <w:jc w:val="both"/>
              <w:rPr>
                <w:rFonts w:ascii="Arial" w:eastAsia="Arial" w:hAnsi="Arial" w:cs="Arial"/>
                <w:sz w:val="18"/>
                <w:szCs w:val="18"/>
                <w:lang w:val="es-ES"/>
              </w:rPr>
            </w:pPr>
            <w:r w:rsidRPr="00F301E9">
              <w:rPr>
                <w:rFonts w:ascii="Arial" w:eastAsia="Arial" w:hAnsi="Arial" w:cs="Arial"/>
                <w:sz w:val="18"/>
                <w:szCs w:val="18"/>
                <w:lang w:val="es-ES"/>
              </w:rPr>
              <w:t>Ár</w:t>
            </w:r>
            <w:r w:rsidRPr="00F301E9">
              <w:rPr>
                <w:rFonts w:ascii="Arial" w:eastAsia="Arial" w:hAnsi="Arial" w:cs="Arial"/>
                <w:spacing w:val="1"/>
                <w:sz w:val="18"/>
                <w:szCs w:val="18"/>
                <w:lang w:val="es-ES"/>
              </w:rPr>
              <w:t>bol</w:t>
            </w:r>
            <w:r w:rsidRPr="00F301E9">
              <w:rPr>
                <w:rFonts w:ascii="Arial" w:eastAsia="Arial" w:hAnsi="Arial" w:cs="Arial"/>
                <w:spacing w:val="-2"/>
                <w:sz w:val="18"/>
                <w:szCs w:val="18"/>
                <w:lang w:val="es-ES"/>
              </w:rPr>
              <w:t>e</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y</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P</w:t>
            </w:r>
            <w:r w:rsidRPr="00F301E9">
              <w:rPr>
                <w:rFonts w:ascii="Arial" w:eastAsia="Arial" w:hAnsi="Arial" w:cs="Arial"/>
                <w:spacing w:val="1"/>
                <w:sz w:val="18"/>
                <w:szCs w:val="18"/>
                <w:lang w:val="es-ES"/>
              </w:rPr>
              <w:t>la</w:t>
            </w:r>
            <w:r w:rsidRPr="00F301E9">
              <w:rPr>
                <w:rFonts w:ascii="Arial" w:eastAsia="Arial" w:hAnsi="Arial" w:cs="Arial"/>
                <w:spacing w:val="-2"/>
                <w:sz w:val="18"/>
                <w:szCs w:val="18"/>
                <w:lang w:val="es-ES"/>
              </w:rPr>
              <w:t>n</w:t>
            </w:r>
            <w:r w:rsidRPr="00F301E9">
              <w:rPr>
                <w:rFonts w:ascii="Arial" w:eastAsia="Arial" w:hAnsi="Arial" w:cs="Arial"/>
                <w:sz w:val="18"/>
                <w:szCs w:val="18"/>
                <w:lang w:val="es-ES"/>
              </w:rPr>
              <w:t>t</w:t>
            </w:r>
            <w:r w:rsidRPr="00F301E9">
              <w:rPr>
                <w:rFonts w:ascii="Arial" w:eastAsia="Arial" w:hAnsi="Arial" w:cs="Arial"/>
                <w:spacing w:val="1"/>
                <w:sz w:val="18"/>
                <w:szCs w:val="18"/>
                <w:lang w:val="es-ES"/>
              </w:rPr>
              <w:t>a</w:t>
            </w:r>
            <w:r w:rsidRPr="00F301E9">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318" w:right="319"/>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5"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r w:rsidR="00F301E9" w:rsidRPr="00F301E9" w:rsidTr="005D0231">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1</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2</w:t>
            </w:r>
            <w:r w:rsidRPr="00F301E9">
              <w:rPr>
                <w:rFonts w:ascii="Arial" w:eastAsia="Arial" w:hAnsi="Arial" w:cs="Arial"/>
                <w:sz w:val="18"/>
                <w:szCs w:val="18"/>
                <w:lang w:val="es-ES"/>
              </w:rPr>
              <w:t>.</w:t>
            </w:r>
            <w:r w:rsidRPr="00F301E9">
              <w:rPr>
                <w:rFonts w:ascii="Arial" w:eastAsia="Arial" w:hAnsi="Arial" w:cs="Arial"/>
                <w:spacing w:val="1"/>
                <w:sz w:val="18"/>
                <w:szCs w:val="18"/>
                <w:lang w:val="es-ES"/>
              </w:rPr>
              <w:t>4</w:t>
            </w:r>
            <w:r w:rsidRPr="00F301E9">
              <w:rPr>
                <w:rFonts w:ascii="Arial" w:eastAsia="Arial" w:hAnsi="Arial" w:cs="Arial"/>
                <w:spacing w:val="-2"/>
                <w:sz w:val="18"/>
                <w:szCs w:val="18"/>
                <w:lang w:val="es-ES"/>
              </w:rPr>
              <w:t>.</w:t>
            </w:r>
            <w:r w:rsidRPr="00F301E9">
              <w:rPr>
                <w:rFonts w:ascii="Arial" w:eastAsia="Arial" w:hAnsi="Arial" w:cs="Arial"/>
                <w:spacing w:val="1"/>
                <w:sz w:val="18"/>
                <w:szCs w:val="18"/>
                <w:lang w:val="es-ES"/>
              </w:rPr>
              <w:t>8</w:t>
            </w:r>
            <w:r w:rsidRPr="00F301E9">
              <w:rPr>
                <w:rFonts w:ascii="Arial" w:eastAsia="Arial" w:hAnsi="Arial" w:cs="Arial"/>
                <w:sz w:val="18"/>
                <w:szCs w:val="18"/>
                <w:lang w:val="es-ES"/>
              </w:rPr>
              <w:t>.9</w:t>
            </w:r>
          </w:p>
        </w:tc>
        <w:tc>
          <w:tcPr>
            <w:tcW w:w="5567"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64"/>
              <w:jc w:val="both"/>
              <w:rPr>
                <w:rFonts w:ascii="Arial" w:eastAsia="Arial" w:hAnsi="Arial" w:cs="Arial"/>
                <w:sz w:val="18"/>
                <w:szCs w:val="18"/>
                <w:lang w:val="es-ES"/>
              </w:rPr>
            </w:pPr>
            <w:r w:rsidRPr="00F301E9">
              <w:rPr>
                <w:rFonts w:ascii="Arial" w:eastAsia="Arial" w:hAnsi="Arial" w:cs="Arial"/>
                <w:spacing w:val="-1"/>
                <w:sz w:val="18"/>
                <w:szCs w:val="18"/>
                <w:lang w:val="es-ES"/>
              </w:rPr>
              <w:t>O</w:t>
            </w:r>
            <w:r w:rsidRPr="00F301E9">
              <w:rPr>
                <w:rFonts w:ascii="Arial" w:eastAsia="Arial" w:hAnsi="Arial" w:cs="Arial"/>
                <w:sz w:val="18"/>
                <w:szCs w:val="18"/>
                <w:lang w:val="es-ES"/>
              </w:rPr>
              <w:t>tr</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A</w:t>
            </w:r>
            <w:r w:rsidRPr="00F301E9">
              <w:rPr>
                <w:rFonts w:ascii="Arial" w:eastAsia="Arial" w:hAnsi="Arial" w:cs="Arial"/>
                <w:spacing w:val="1"/>
                <w:sz w:val="18"/>
                <w:szCs w:val="18"/>
                <w:lang w:val="es-ES"/>
              </w:rPr>
              <w:t>c</w:t>
            </w:r>
            <w:r w:rsidRPr="00F301E9">
              <w:rPr>
                <w:rFonts w:ascii="Arial" w:eastAsia="Arial" w:hAnsi="Arial" w:cs="Arial"/>
                <w:spacing w:val="-2"/>
                <w:sz w:val="18"/>
                <w:szCs w:val="18"/>
                <w:lang w:val="es-ES"/>
              </w:rPr>
              <w:t>t</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v</w:t>
            </w:r>
            <w:r w:rsidRPr="00F301E9">
              <w:rPr>
                <w:rFonts w:ascii="Arial" w:eastAsia="Arial" w:hAnsi="Arial" w:cs="Arial"/>
                <w:spacing w:val="1"/>
                <w:sz w:val="18"/>
                <w:szCs w:val="18"/>
                <w:lang w:val="es-ES"/>
              </w:rPr>
              <w:t>o</w:t>
            </w:r>
            <w:r w:rsidRPr="00F301E9">
              <w:rPr>
                <w:rFonts w:ascii="Arial" w:eastAsia="Arial" w:hAnsi="Arial" w:cs="Arial"/>
                <w:sz w:val="18"/>
                <w:szCs w:val="18"/>
                <w:lang w:val="es-ES"/>
              </w:rPr>
              <w:t>s</w:t>
            </w:r>
            <w:r w:rsidRPr="00F301E9">
              <w:rPr>
                <w:rFonts w:ascii="Arial" w:eastAsia="Arial" w:hAnsi="Arial" w:cs="Arial"/>
                <w:spacing w:val="1"/>
                <w:sz w:val="18"/>
                <w:szCs w:val="18"/>
                <w:lang w:val="es-ES"/>
              </w:rPr>
              <w:t xml:space="preserve"> </w:t>
            </w:r>
            <w:r w:rsidRPr="00F301E9">
              <w:rPr>
                <w:rFonts w:ascii="Arial" w:eastAsia="Arial" w:hAnsi="Arial" w:cs="Arial"/>
                <w:sz w:val="18"/>
                <w:szCs w:val="18"/>
                <w:lang w:val="es-ES"/>
              </w:rPr>
              <w:t>B</w:t>
            </w:r>
            <w:r w:rsidRPr="00F301E9">
              <w:rPr>
                <w:rFonts w:ascii="Arial" w:eastAsia="Arial" w:hAnsi="Arial" w:cs="Arial"/>
                <w:spacing w:val="-1"/>
                <w:sz w:val="18"/>
                <w:szCs w:val="18"/>
                <w:lang w:val="es-ES"/>
              </w:rPr>
              <w:t>i</w:t>
            </w:r>
            <w:r w:rsidRPr="00F301E9">
              <w:rPr>
                <w:rFonts w:ascii="Arial" w:eastAsia="Arial" w:hAnsi="Arial" w:cs="Arial"/>
                <w:spacing w:val="1"/>
                <w:sz w:val="18"/>
                <w:szCs w:val="18"/>
                <w:lang w:val="es-ES"/>
              </w:rPr>
              <w:t>ol</w:t>
            </w:r>
            <w:r w:rsidRPr="00F301E9">
              <w:rPr>
                <w:rFonts w:ascii="Arial" w:eastAsia="Arial" w:hAnsi="Arial" w:cs="Arial"/>
                <w:spacing w:val="-2"/>
                <w:sz w:val="18"/>
                <w:szCs w:val="18"/>
                <w:lang w:val="es-ES"/>
              </w:rPr>
              <w:t>ó</w:t>
            </w:r>
            <w:r w:rsidRPr="00F301E9">
              <w:rPr>
                <w:rFonts w:ascii="Arial" w:eastAsia="Arial" w:hAnsi="Arial" w:cs="Arial"/>
                <w:spacing w:val="1"/>
                <w:sz w:val="18"/>
                <w:szCs w:val="18"/>
                <w:lang w:val="es-ES"/>
              </w:rPr>
              <w:t>g</w:t>
            </w:r>
            <w:r w:rsidRPr="00F301E9">
              <w:rPr>
                <w:rFonts w:ascii="Arial" w:eastAsia="Arial" w:hAnsi="Arial" w:cs="Arial"/>
                <w:spacing w:val="-2"/>
                <w:sz w:val="18"/>
                <w:szCs w:val="18"/>
                <w:lang w:val="es-ES"/>
              </w:rPr>
              <w:t>i</w:t>
            </w:r>
            <w:r w:rsidRPr="00F301E9">
              <w:rPr>
                <w:rFonts w:ascii="Arial" w:eastAsia="Arial" w:hAnsi="Arial" w:cs="Arial"/>
                <w:spacing w:val="1"/>
                <w:sz w:val="18"/>
                <w:szCs w:val="18"/>
                <w:lang w:val="es-ES"/>
              </w:rPr>
              <w:t>co</w:t>
            </w:r>
            <w:r w:rsidRPr="00F301E9">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318" w:right="319"/>
              <w:jc w:val="center"/>
              <w:rPr>
                <w:rFonts w:ascii="Arial" w:eastAsia="Arial" w:hAnsi="Arial" w:cs="Arial"/>
                <w:sz w:val="18"/>
                <w:szCs w:val="18"/>
                <w:lang w:val="es-ES"/>
              </w:rPr>
            </w:pPr>
            <w:r w:rsidRPr="00F301E9">
              <w:rPr>
                <w:rFonts w:ascii="Arial" w:eastAsia="Arial" w:hAnsi="Arial" w:cs="Arial"/>
                <w:sz w:val="18"/>
                <w:szCs w:val="18"/>
                <w:lang w:val="es-ES"/>
              </w:rPr>
              <w:t>5</w:t>
            </w:r>
          </w:p>
        </w:tc>
        <w:tc>
          <w:tcPr>
            <w:tcW w:w="1542" w:type="dxa"/>
            <w:gridSpan w:val="3"/>
            <w:tcBorders>
              <w:top w:val="single" w:sz="7" w:space="0" w:color="000000"/>
              <w:left w:val="single" w:sz="7" w:space="0" w:color="000000"/>
              <w:bottom w:val="single" w:sz="7" w:space="0" w:color="000000"/>
              <w:right w:val="single" w:sz="7" w:space="0" w:color="000000"/>
            </w:tcBorders>
          </w:tcPr>
          <w:p w:rsidR="00F301E9" w:rsidRPr="00F301E9" w:rsidRDefault="00F301E9" w:rsidP="00F301E9">
            <w:pPr>
              <w:spacing w:before="12" w:after="60" w:line="360" w:lineRule="auto"/>
              <w:ind w:left="530" w:right="530"/>
              <w:jc w:val="center"/>
              <w:rPr>
                <w:rFonts w:ascii="Arial" w:eastAsia="Arial" w:hAnsi="Arial" w:cs="Arial"/>
                <w:sz w:val="18"/>
                <w:szCs w:val="18"/>
                <w:lang w:val="es-ES"/>
              </w:rPr>
            </w:pPr>
            <w:r w:rsidRPr="00F301E9">
              <w:rPr>
                <w:rFonts w:ascii="Arial" w:eastAsia="Arial" w:hAnsi="Arial" w:cs="Arial"/>
                <w:spacing w:val="1"/>
                <w:sz w:val="18"/>
                <w:szCs w:val="18"/>
                <w:lang w:val="es-ES"/>
              </w:rPr>
              <w:t>20</w:t>
            </w:r>
          </w:p>
        </w:tc>
      </w:tr>
    </w:tbl>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r w:rsidRPr="00F301E9">
        <w:rPr>
          <w:rFonts w:ascii="GalanoGrotesque-Light" w:eastAsia="Calibri" w:hAnsi="GalanoGrotesque-Light" w:cs="Times New Roman"/>
          <w:sz w:val="24"/>
          <w:szCs w:val="24"/>
          <w:lang w:val="es-ES"/>
        </w:rPr>
        <w:t xml:space="preserve">El control y registro se lleva a cabo considerando que la depreciación y amortización, es la distribución sistemática del costo de adquisición de un activo a lo largo de su vida útil, obteniendo un importe de la Depreciación Acumulada </w:t>
      </w:r>
      <w:r w:rsidRPr="00F301E9">
        <w:rPr>
          <w:rFonts w:ascii="GalanoGrotesque-Light" w:eastAsia="Calibri" w:hAnsi="GalanoGrotesque-Light" w:cs="Times New Roman"/>
          <w:sz w:val="24"/>
          <w:szCs w:val="24"/>
          <w:lang w:val="es-ES"/>
        </w:rPr>
        <w:lastRenderedPageBreak/>
        <w:t>cuantificada al Cuarto Trimestre del Ejercicio Fiscal 2025 de la siguiente manera:</w:t>
      </w:r>
    </w:p>
    <w:p w:rsidR="00F301E9" w:rsidRPr="00F301E9" w:rsidRDefault="00F301E9" w:rsidP="00F301E9">
      <w:pPr>
        <w:spacing w:before="60" w:after="60" w:line="360" w:lineRule="auto"/>
        <w:jc w:val="center"/>
        <w:rPr>
          <w:rFonts w:ascii="GalanoGrotesque-Light" w:eastAsia="Calibri" w:hAnsi="GalanoGrotesque-Light" w:cs="Times New Roman"/>
          <w:sz w:val="24"/>
          <w:szCs w:val="24"/>
          <w:lang w:val="es-ES"/>
        </w:rPr>
      </w:pPr>
      <w:r w:rsidRPr="00F301E9">
        <w:rPr>
          <w:rFonts w:ascii="GalanoGrotesque-Light" w:eastAsia="Calibri" w:hAnsi="GalanoGrotesque-Light" w:cs="Times New Roman"/>
          <w:noProof/>
          <w:sz w:val="24"/>
          <w:szCs w:val="24"/>
          <w:lang w:eastAsia="es-MX"/>
        </w:rPr>
        <w:lastRenderedPageBreak/>
        <w:drawing>
          <wp:inline distT="0" distB="0" distL="0" distR="0" wp14:anchorId="41DEDC7E" wp14:editId="1DBD9269">
            <wp:extent cx="5530850" cy="8247863"/>
            <wp:effectExtent l="0" t="0" r="0" b="1270"/>
            <wp:docPr id="604720027" name="Imagen 60472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44824" cy="8268701"/>
                    </a:xfrm>
                    <a:prstGeom prst="rect">
                      <a:avLst/>
                    </a:prstGeom>
                    <a:noFill/>
                    <a:ln>
                      <a:noFill/>
                    </a:ln>
                  </pic:spPr>
                </pic:pic>
              </a:graphicData>
            </a:graphic>
          </wp:inline>
        </w:drawing>
      </w:r>
    </w:p>
    <w:p w:rsidR="00F301E9" w:rsidRPr="00F301E9" w:rsidRDefault="00F301E9" w:rsidP="00F301E9">
      <w:pPr>
        <w:widowControl w:val="0"/>
        <w:spacing w:after="0" w:line="360" w:lineRule="auto"/>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lastRenderedPageBreak/>
        <w:t>La depreciación del periodo a informar de los bienes muebles e inmuebles se describe a continuación:</w:t>
      </w:r>
    </w:p>
    <w:p w:rsidR="00F301E9" w:rsidRPr="00F301E9" w:rsidRDefault="00F301E9" w:rsidP="00F301E9">
      <w:pPr>
        <w:widowControl w:val="0"/>
        <w:spacing w:after="0" w:line="360" w:lineRule="auto"/>
        <w:rPr>
          <w:rFonts w:ascii="GalanoGrotesque-Light" w:eastAsia="Times New Roman" w:hAnsi="GalanoGrotesque-Light" w:cs="Times New Roman"/>
          <w:color w:val="000000"/>
          <w:lang w:val="es-ES" w:eastAsia="es-MX"/>
        </w:rPr>
      </w:pPr>
    </w:p>
    <w:p w:rsidR="00F301E9" w:rsidRPr="00F301E9" w:rsidRDefault="00F301E9" w:rsidP="00F301E9">
      <w:pPr>
        <w:widowControl w:val="0"/>
        <w:spacing w:after="0" w:line="360" w:lineRule="auto"/>
        <w:rPr>
          <w:rFonts w:ascii="GalanoGrotesque-Light" w:eastAsia="Times New Roman" w:hAnsi="GalanoGrotesque-Light" w:cs="Times New Roman"/>
          <w:b/>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0CA6884F" wp14:editId="6BC80115">
            <wp:extent cx="6248400" cy="4584700"/>
            <wp:effectExtent l="0" t="0" r="0" b="6350"/>
            <wp:docPr id="604720029" name="Imagen 60472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48400" cy="4584700"/>
                    </a:xfrm>
                    <a:prstGeom prst="rect">
                      <a:avLst/>
                    </a:prstGeom>
                    <a:noFill/>
                    <a:ln>
                      <a:noFill/>
                    </a:ln>
                  </pic:spPr>
                </pic:pic>
              </a:graphicData>
            </a:graphic>
          </wp:inline>
        </w:drawing>
      </w:r>
    </w:p>
    <w:p w:rsidR="00F301E9" w:rsidRPr="00F301E9" w:rsidRDefault="00F301E9" w:rsidP="00F301E9">
      <w:pPr>
        <w:widowControl w:val="0"/>
        <w:spacing w:after="0" w:line="360" w:lineRule="auto"/>
        <w:rPr>
          <w:rFonts w:ascii="GalanoGrotesque-Light" w:eastAsia="Times New Roman" w:hAnsi="GalanoGrotesque-Light" w:cs="Times New Roman"/>
          <w:b/>
          <w:color w:val="000000"/>
          <w:lang w:val="es-ES" w:eastAsia="es-MX"/>
        </w:rPr>
      </w:pPr>
    </w:p>
    <w:p w:rsidR="00F301E9" w:rsidRPr="00F301E9" w:rsidRDefault="00F301E9" w:rsidP="00F301E9">
      <w:pPr>
        <w:widowControl w:val="0"/>
        <w:spacing w:after="0" w:line="360" w:lineRule="auto"/>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9.- ACTIVOS INTANGIBLES</w:t>
      </w:r>
    </w:p>
    <w:p w:rsidR="00F301E9" w:rsidRPr="00F301E9" w:rsidRDefault="00F301E9" w:rsidP="00F301E9">
      <w:pPr>
        <w:widowControl w:val="0"/>
        <w:spacing w:after="0" w:line="360" w:lineRule="auto"/>
        <w:rPr>
          <w:rFonts w:ascii="GalanoGrotesque-Light" w:eastAsia="Times New Roman" w:hAnsi="GalanoGrotesque-Light" w:cs="Times New Roman"/>
          <w:b/>
          <w:color w:val="000000"/>
          <w:lang w:val="es-ES" w:eastAsia="es-MX"/>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Se refiere a las adquisiciones de software y licencias informáticas, necesarios para la operación de las distintas dependencias del Gobierno del Estado y para dar cumplimiento a la normatividad en materia de transparencia, rendición de cuentas y armonización contable.</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noProof/>
          <w:sz w:val="24"/>
          <w:szCs w:val="24"/>
          <w:lang w:eastAsia="es-MX"/>
        </w:rPr>
        <w:drawing>
          <wp:inline distT="0" distB="0" distL="0" distR="0" wp14:anchorId="72DE8048" wp14:editId="5CEC3B85">
            <wp:extent cx="6351270" cy="684182"/>
            <wp:effectExtent l="0" t="0" r="0" b="1905"/>
            <wp:docPr id="604720031" name="Imagen 60472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51270" cy="684182"/>
                    </a:xfrm>
                    <a:prstGeom prst="rect">
                      <a:avLst/>
                    </a:prstGeom>
                    <a:noFill/>
                    <a:ln>
                      <a:noFill/>
                    </a:ln>
                  </pic:spPr>
                </pic:pic>
              </a:graphicData>
            </a:graphic>
          </wp:inline>
        </w:drawing>
      </w:r>
    </w:p>
    <w:p w:rsidR="00F301E9" w:rsidRPr="00F301E9" w:rsidRDefault="00F301E9" w:rsidP="00F301E9">
      <w:pPr>
        <w:widowControl w:val="0"/>
        <w:spacing w:after="0" w:line="360" w:lineRule="auto"/>
        <w:rPr>
          <w:rFonts w:ascii="GalanoGrotesque-Light" w:eastAsia="Times New Roman" w:hAnsi="GalanoGrotesque-Light" w:cs="Times New Roman"/>
          <w:b/>
          <w:color w:val="000000"/>
          <w:lang w:val="es-ES" w:eastAsia="es-MX"/>
        </w:rPr>
      </w:pPr>
    </w:p>
    <w:p w:rsidR="00F301E9" w:rsidRPr="00F301E9" w:rsidRDefault="00F301E9" w:rsidP="00F301E9">
      <w:pPr>
        <w:widowControl w:val="0"/>
        <w:spacing w:after="0" w:line="360" w:lineRule="auto"/>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ACTIVOS DIFERIDOS</w:t>
      </w:r>
    </w:p>
    <w:p w:rsidR="00F301E9" w:rsidRPr="00F301E9" w:rsidRDefault="00F301E9" w:rsidP="00F301E9">
      <w:pPr>
        <w:widowControl w:val="0"/>
        <w:spacing w:after="0" w:line="360" w:lineRule="auto"/>
        <w:rPr>
          <w:rFonts w:ascii="GalanoGrotesque-Light" w:eastAsia="Times New Roman" w:hAnsi="GalanoGrotesque-Light" w:cs="Times New Roman"/>
          <w:b/>
          <w:color w:val="000000"/>
          <w:lang w:val="es-ES" w:eastAsia="es-MX"/>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Los cargos diferidos son aquellos gastos pagados por anticipado y que no son susceptibles de ser recuperados por el Gobierno del Estado, en ningún momento.</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En este rubro, se encuentran las inversiones en estudios, formulación y evaluación de proyectos productivos que posteriormente pasarán a integrarse al costo de las inversiones para las cuales fueron realizados.</w:t>
      </w: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noProof/>
          <w:sz w:val="24"/>
          <w:szCs w:val="24"/>
          <w:lang w:eastAsia="es-MX"/>
        </w:rPr>
        <w:drawing>
          <wp:inline distT="0" distB="0" distL="0" distR="0" wp14:anchorId="6DB456C6" wp14:editId="3A71D4A1">
            <wp:extent cx="6351270" cy="576606"/>
            <wp:effectExtent l="0" t="0" r="0" b="0"/>
            <wp:docPr id="312330848" name="Imagen 31233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51270" cy="576606"/>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
          <w:color w:val="000000"/>
          <w:lang w:val="es-ES" w:eastAsia="es-MX"/>
        </w:rPr>
      </w:pP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10. ESTIMACIONES Y DETERIOROS.</w:t>
      </w: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Cs/>
          <w:color w:val="000000"/>
          <w:lang w:val="es-ES" w:eastAsia="es-MX"/>
        </w:rPr>
      </w:pP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El Gobierno del Estado de Michoacán no realiza estimaciones.</w:t>
      </w: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
          <w:color w:val="000000"/>
          <w:lang w:val="es-ES" w:eastAsia="es-MX"/>
        </w:rPr>
      </w:pP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11.- OTROS ACTIVOS</w:t>
      </w: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Cs/>
          <w:color w:val="000000"/>
          <w:lang w:val="es-ES" w:eastAsia="es-MX"/>
        </w:rPr>
      </w:pP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Cs/>
          <w:color w:val="000000"/>
          <w:lang w:val="es-ES" w:eastAsia="es-MX"/>
        </w:rPr>
      </w:pPr>
      <w:r w:rsidRPr="00F301E9">
        <w:rPr>
          <w:rFonts w:ascii="GalanoGrotesque-Light" w:eastAsia="Times New Roman" w:hAnsi="GalanoGrotesque-Light" w:cs="Times New Roman"/>
          <w:bCs/>
          <w:color w:val="000000"/>
          <w:lang w:val="es-ES" w:eastAsia="es-MX"/>
        </w:rPr>
        <w:t>El Gobierno del Estado de Michoacán cuenta con un terreno que fue otorgado como dación de pago derivado de un adeudo correspondiente al Municipio de Uruapan el cual será utilizado por la Secretaría de Seguridad Publica, el cuál fue registrado dentro del rubro de otros activos.</w:t>
      </w: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
          <w:color w:val="000000"/>
          <w:lang w:val="es-ES" w:eastAsia="es-MX"/>
        </w:rPr>
      </w:pPr>
    </w:p>
    <w:p w:rsidR="00F301E9" w:rsidRPr="00F301E9" w:rsidRDefault="00F301E9" w:rsidP="00F301E9">
      <w:pPr>
        <w:widowControl w:val="0"/>
        <w:kinsoku w:val="0"/>
        <w:spacing w:after="0" w:line="360" w:lineRule="auto"/>
        <w:contextualSpacing/>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PASIVO</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 xml:space="preserve">Son las obligaciones presentes del Gobierno del Estado, virtualmente ineludibles, identificadas, cuantificadas en términos monetarios y que representan una disminución futura de beneficios económicos, derivadas de operaciones ocurridas en el pasado que le han afectado económicamente. </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 xml:space="preserve">Este apartado se compone de dos grupos, como se observa en el cuadro </w:t>
      </w:r>
      <w:r w:rsidRPr="00F301E9">
        <w:rPr>
          <w:rFonts w:ascii="GalanoGrotesque-Light" w:eastAsia="Times New Roman" w:hAnsi="GalanoGrotesque-Light" w:cs="Times New Roman"/>
          <w:color w:val="000000"/>
          <w:lang w:val="es-ES" w:eastAsia="es-MX"/>
        </w:rPr>
        <w:lastRenderedPageBreak/>
        <w:t>que a continuación se presenta, en los que inciden pasivos derivados de operaciones por servicios personales, cuentas por pagar por operaciones presupuestarias devengadas y contabilizadas al 31 de diciembre de 2025, pasivos por obligaciones fiscales y laborales, acreedores diversos y pasivos por deudas contraídas a corto y largo plazo.</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3BF6F124" wp14:editId="0B8DC4F4">
            <wp:extent cx="6351270" cy="464727"/>
            <wp:effectExtent l="0" t="0" r="0" b="0"/>
            <wp:docPr id="312330849" name="Imagen 31233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51270" cy="464727"/>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 xml:space="preserve">1. PASIVO CIRCULANTE (CUENTAS POR PAGAR A 90, 180 Y MENOR O IGUAL A 365 DÍAS y MAYOR A 365 DIAS) </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En este apartado, se presentan las obligaciones cuyo vencimiento será en un período menor o igual a doce meses, y se integra por las siguientes cuentas principalmente:</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58C97412" wp14:editId="4376AF8E">
            <wp:extent cx="6351270" cy="796060"/>
            <wp:effectExtent l="0" t="0" r="0" b="4445"/>
            <wp:docPr id="312330850" name="Imagen 31233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51270" cy="796060"/>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CUENTAS POR PAGAR A CORTO PLAZO</w:t>
      </w:r>
      <w:r w:rsidRPr="00F301E9">
        <w:rPr>
          <w:rFonts w:ascii="GalanoGrotesque-Light" w:eastAsia="Calibri" w:hAnsi="GalanoGrotesque-Light" w:cs="Times New Roman"/>
          <w:lang w:val="es-ES"/>
        </w:rPr>
        <w:t xml:space="preserve"> </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En el renglón de Cuentas por Pagar Corto Plazo, se incluyeron, para su presentación, los siguientes conceptos:</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3B39AC55" wp14:editId="2E95193D">
            <wp:extent cx="6351270" cy="1234969"/>
            <wp:effectExtent l="0" t="0" r="0" b="3810"/>
            <wp:docPr id="312330851" name="Imagen 312330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51270" cy="1234969"/>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center"/>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center"/>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28F60344" wp14:editId="00E813D6">
            <wp:extent cx="5000625" cy="9906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00625" cy="990600"/>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lastRenderedPageBreak/>
        <w:t>OTROS PASIVOS A CORTO PLAZO</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La cuenta de Otros Pasivos a Corto Plazo se integra por los siguientes conceptos:</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noProof/>
          <w:sz w:val="24"/>
          <w:szCs w:val="24"/>
          <w:lang w:eastAsia="es-MX"/>
        </w:rPr>
        <w:drawing>
          <wp:inline distT="0" distB="0" distL="0" distR="0" wp14:anchorId="624D9AD5" wp14:editId="5639D005">
            <wp:extent cx="6351270" cy="576606"/>
            <wp:effectExtent l="0" t="0" r="0" b="0"/>
            <wp:docPr id="312330852" name="Imagen 31233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51270" cy="576606"/>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saldo de este apartado, está integrado prácticamente por los conceptos federales recaudados de conformidad con las disposiciones establecidas en el artículo 13 de la Ley de Coordinación Fiscal, y las cláusulas de las secciones III y IV del Convenio de Colaboración Administrativa en Materia Fiscal Federal para efecto que al cierre del período no se han compensado con la federación;</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Se compensan estos saldos al mes siguiente tal como lo estipula la legislación mencionada. Al cierre del período no se han compensado con la federación y que representan el 11% del total del rubro de Pasivo Circulante.</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2.- FONDOS Y BIENES DE TERCEROS EN GARANTÍA Y/O ADMINISTRACIÓN</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renglón de Fondos y Bienes de Terceros en Garantía y/ o Administración a Corto Plazo, se integra la de los siguientes fondos:</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noProof/>
          <w:sz w:val="24"/>
          <w:szCs w:val="24"/>
          <w:lang w:eastAsia="es-MX"/>
        </w:rPr>
        <w:drawing>
          <wp:inline distT="0" distB="0" distL="0" distR="0" wp14:anchorId="02EE31AD" wp14:editId="06F475DE">
            <wp:extent cx="6351270" cy="464727"/>
            <wp:effectExtent l="0" t="0" r="0" b="0"/>
            <wp:docPr id="312330853" name="Imagen 31233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51270" cy="464727"/>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Los Fondos y Depósitos en Garantía que tiene el Gobierno del Estado, se integran por los conceptos de depósitos por órdenes judiciales y administrativas que realiza el sector privado por orden de un juez, como parte del proceso de un juicio, así como por los depósitos en garantía del pago de impuestos de multas federales no fiscales, que se reciben para garantizar la aplicación posterior en el pago de dichos conceptos una vez que la autoridad fiscalizadora los determine como procedentes y en firme.</w:t>
      </w:r>
    </w:p>
    <w:p w:rsidR="00F301E9" w:rsidRPr="00F301E9" w:rsidRDefault="00F301E9" w:rsidP="00F301E9">
      <w:pPr>
        <w:spacing w:after="0" w:line="360" w:lineRule="auto"/>
        <w:ind w:left="425"/>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lastRenderedPageBreak/>
        <w:t>Los recursos que se reciben como Fondos en Administración, se refieren a aquellos que recibe el Estado solo en calidad de administrador para que una vez cumplidas las condiciones estipuladas en los convenios mediante los cuales se adquirió esta responsabilidad, sean aplicados o reintegrados de conformidad con dichas condiciones.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Entre ellos se encuentran, aquellos que se reciben para la regularización de fraccionamientos, algunas aportaciones de acreedores del </w:t>
      </w:r>
      <w:r w:rsidRPr="00F301E9">
        <w:rPr>
          <w:rFonts w:ascii="GalanoGrotesque-Light" w:eastAsia="Calibri" w:hAnsi="GalanoGrotesque-Light" w:cs="Times New Roman"/>
          <w:color w:val="000000"/>
          <w:lang w:val="es-ES"/>
        </w:rPr>
        <w:t>Instituto de Seguridad y Servicios Sociales de los Trabajadores del Estado</w:t>
      </w:r>
      <w:r w:rsidRPr="00F301E9">
        <w:rPr>
          <w:rFonts w:ascii="GalanoGrotesque-Light" w:eastAsia="Calibri" w:hAnsi="GalanoGrotesque-Light" w:cs="Times New Roman"/>
          <w:lang w:val="es-ES"/>
        </w:rPr>
        <w:t>, los conceptos de propiedad inmobiliaria que se recaudan en apoyo a algunos municipios que no cuentan con la infraestructura para llevar a cabo esta actividad, así como el Impuesto Sobre la Renta reintegrado por la federación para entregarlo en su mayoría a los Municipios del Estado, además de incluir los recursos que la Secretaria de Finanzas administra de los subsistemas de educación media superior y superior coordinados por el Instituto de Educación Media Superior y Superior del Estado de Michoacán, los cuales se captan en las cuentas bancarias que administra la Secretaría de Finanzas y de manera posterior son ministradas a los entes que generaron los ingresos.</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PASIVO NO CIRCULANTE (CUENTAS POR PAGAR CON VENCIMIENTO MAYOR A 365 DÍAS)</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El pasivo no circulante se integra la Deuda Pública a Largo Plazo como a continuación se detalla, y representa las obligaciones a cargo del Gobierno del Estado de Michoacán de Ocampo derivadas de la contratación de créditos con instituciones financieras; esta integración se presenta en el apartado del Estado Analítico de la Deuda.</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6B5A8C15" wp14:editId="0BBCE893">
            <wp:extent cx="6351270" cy="357151"/>
            <wp:effectExtent l="0" t="0" r="0" b="5080"/>
            <wp:docPr id="312330855" name="Imagen 31233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51270" cy="357151"/>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3.- PASIVOS DIFERIDOS.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Gobierno del Estado de Michoacán no cuenta con pasivos diferidos.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4.- PROVISIONES</w:t>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Gobierno del Estado de Michoacán no ha creado provisiones.</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5.- OTROS PASIVOS</w:t>
      </w: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El Gobierno del Estado de Michoacán no cuenta con pasivos diferentes a los ya descritos.</w:t>
      </w:r>
    </w:p>
    <w:p w:rsidR="00F301E9" w:rsidRPr="00F301E9" w:rsidRDefault="00F301E9" w:rsidP="00F301E9">
      <w:pPr>
        <w:spacing w:after="0" w:line="360" w:lineRule="auto"/>
        <w:jc w:val="both"/>
        <w:rPr>
          <w:rFonts w:ascii="GalanoGrotesque-Light" w:eastAsia="Calibri" w:hAnsi="GalanoGrotesque-Light" w:cs="Times New Roman"/>
          <w:color w:val="864A04"/>
          <w:sz w:val="24"/>
          <w:szCs w:val="24"/>
          <w:lang w:val="es-ES"/>
        </w:rPr>
      </w:pPr>
    </w:p>
    <w:p w:rsidR="00F301E9" w:rsidRPr="00F301E9" w:rsidRDefault="00F301E9" w:rsidP="00F301E9">
      <w:pPr>
        <w:spacing w:after="0" w:line="360" w:lineRule="auto"/>
        <w:rPr>
          <w:rFonts w:ascii="GalanoGrotesque-Light" w:eastAsia="Calibri" w:hAnsi="GalanoGrotesque-Light" w:cs="Times New Roman"/>
          <w:b/>
          <w:sz w:val="24"/>
          <w:szCs w:val="36"/>
          <w:lang w:val="es-ES"/>
        </w:rPr>
      </w:pPr>
      <w:r w:rsidRPr="00F301E9">
        <w:rPr>
          <w:rFonts w:ascii="GalanoGrotesque-Light" w:eastAsia="Calibri" w:hAnsi="GalanoGrotesque-Light" w:cs="Times New Roman"/>
          <w:b/>
          <w:sz w:val="24"/>
          <w:szCs w:val="36"/>
          <w:lang w:val="es-ES"/>
        </w:rPr>
        <w:t>III). NOTAS AL ESTADO DE VARIACIÓN DE LA HACIENDA PÚBLICA</w:t>
      </w:r>
    </w:p>
    <w:p w:rsidR="00F301E9" w:rsidRPr="00F301E9" w:rsidRDefault="00F301E9" w:rsidP="00F301E9">
      <w:pPr>
        <w:widowControl w:val="0"/>
        <w:spacing w:after="0" w:line="360" w:lineRule="auto"/>
        <w:rPr>
          <w:rFonts w:ascii="GalanoGrotesque-Light" w:eastAsia="Times New Roman" w:hAnsi="GalanoGrotesque-Light" w:cs="Times New Roman"/>
          <w:b/>
          <w:color w:val="000000"/>
          <w:lang w:val="es-ES" w:eastAsia="es-MX"/>
        </w:rPr>
      </w:pPr>
      <w:r w:rsidRPr="00F301E9">
        <w:rPr>
          <w:rFonts w:ascii="GalanoGrotesque-Light" w:eastAsia="Times New Roman" w:hAnsi="GalanoGrotesque-Light" w:cs="Times New Roman"/>
          <w:b/>
          <w:color w:val="000000"/>
          <w:lang w:val="es-ES" w:eastAsia="es-MX"/>
        </w:rPr>
        <w:t>HACIENDA PÚBLICA/PATRIMONIO</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Representa la diferencia entre el activo y el pasivo del ente público. Incluye el resultado de la gestión de ejercicios anteriores.</w:t>
      </w:r>
    </w:p>
    <w:p w:rsidR="00F301E9" w:rsidRPr="00F301E9" w:rsidRDefault="00F301E9" w:rsidP="00F301E9">
      <w:pPr>
        <w:widowControl w:val="0"/>
        <w:kinsoku w:val="0"/>
        <w:spacing w:after="0" w:line="360" w:lineRule="auto"/>
        <w:ind w:left="426"/>
        <w:contextualSpacing/>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 xml:space="preserve">    1. Patrimonio Estatal/Patrimonio Contribuido</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 xml:space="preserve">Representa las </w:t>
      </w:r>
      <w:r w:rsidRPr="00F301E9">
        <w:rPr>
          <w:rFonts w:ascii="GalanoGrotesque-Light" w:eastAsia="Times New Roman" w:hAnsi="GalanoGrotesque-Light" w:cs="Times New Roman"/>
          <w:lang w:val="es-ES" w:eastAsia="es-MX"/>
        </w:rPr>
        <w:t xml:space="preserve">aportaciones, con fines permanentes, del </w:t>
      </w:r>
      <w:r w:rsidRPr="00F301E9">
        <w:rPr>
          <w:rFonts w:ascii="GalanoGrotesque-Light" w:eastAsia="Times New Roman" w:hAnsi="GalanoGrotesque-Light" w:cs="Times New Roman"/>
          <w:color w:val="000000"/>
          <w:lang w:val="es-ES" w:eastAsia="es-MX"/>
        </w:rPr>
        <w:t>Gobierno del Estado que incrementan la Hacienda Pública/Patrimonio del mismo, así como los efectos identificables y cuantificables que le afecten de acuerdo con los lineamientos emitidos por el Consejo Nacional de Armonización Contable.</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 xml:space="preserve">Al 31 de diciembre de 2025, el total de la Hacienda Pública/Patrimonio Contribuido presenta un saldo de 43 mil 261 millones 714 mil 502 pesos, el cual se integra de los siguientes rubros: </w:t>
      </w:r>
      <w:r w:rsidRPr="00F301E9">
        <w:rPr>
          <w:rFonts w:ascii="GalanoGrotesque-Light" w:eastAsia="Calibri" w:hAnsi="GalanoGrotesque-Light" w:cs="Times New Roman"/>
          <w:noProof/>
          <w:sz w:val="24"/>
          <w:szCs w:val="24"/>
          <w:lang w:eastAsia="es-MX"/>
        </w:rPr>
        <w:drawing>
          <wp:inline distT="0" distB="0" distL="0" distR="0" wp14:anchorId="693309C5" wp14:editId="660AB783">
            <wp:extent cx="6351270" cy="576606"/>
            <wp:effectExtent l="0" t="0" r="0" b="0"/>
            <wp:docPr id="312330856" name="Imagen 312330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51270" cy="576606"/>
                    </a:xfrm>
                    <a:prstGeom prst="rect">
                      <a:avLst/>
                    </a:prstGeom>
                    <a:noFill/>
                    <a:ln>
                      <a:noFill/>
                    </a:ln>
                  </pic:spPr>
                </pic:pic>
              </a:graphicData>
            </a:graphic>
          </wp:inline>
        </w:drawing>
      </w:r>
    </w:p>
    <w:p w:rsidR="00F301E9" w:rsidRPr="00F301E9" w:rsidRDefault="00F301E9" w:rsidP="00F301E9">
      <w:pPr>
        <w:spacing w:after="0" w:line="360" w:lineRule="auto"/>
        <w:jc w:val="both"/>
        <w:rPr>
          <w:rFonts w:ascii="GalanoGrotesque-Light" w:eastAsia="Calibri" w:hAnsi="GalanoGrotesque-Light" w:cs="Times New Roman"/>
          <w:lang w:val="es-ES"/>
        </w:rPr>
      </w:pPr>
    </w:p>
    <w:p w:rsidR="00F301E9" w:rsidRPr="00F301E9" w:rsidRDefault="00F301E9" w:rsidP="00F301E9">
      <w:pPr>
        <w:spacing w:after="0" w:line="360" w:lineRule="auto"/>
        <w:jc w:val="both"/>
        <w:rPr>
          <w:rFonts w:ascii="GalanoGrotesque-Light" w:eastAsia="Calibri" w:hAnsi="GalanoGrotesque-Light" w:cs="Times New Roman"/>
          <w:lang w:val="es-ES"/>
        </w:rPr>
      </w:pPr>
      <w:r w:rsidRPr="00F301E9">
        <w:rPr>
          <w:rFonts w:ascii="GalanoGrotesque-Light" w:eastAsia="Calibri" w:hAnsi="GalanoGrotesque-Light" w:cs="Times New Roman"/>
          <w:lang w:val="es-ES"/>
        </w:rPr>
        <w:t xml:space="preserve">Dentro del rubro de Patrimonio Estatal/Patrimonio Contribuido, se destaca la actualización realizada de la participación del Poder Ejecutivo en el Patrimonio de las Entidades Paraestatales, el cual se detalla en el punto 7 de las notas de desglose al Estado de </w:t>
      </w:r>
      <w:r w:rsidRPr="00F301E9">
        <w:rPr>
          <w:rFonts w:ascii="GalanoGrotesque-Light" w:eastAsia="Calibri" w:hAnsi="GalanoGrotesque-Light" w:cs="Times New Roman"/>
          <w:lang w:val="es-ES"/>
        </w:rPr>
        <w:lastRenderedPageBreak/>
        <w:t>Situación Financiera. Dicha actualización forma parte del aumento del Patrimonio contribuido.</w:t>
      </w:r>
    </w:p>
    <w:p w:rsidR="00F301E9" w:rsidRPr="00F301E9" w:rsidRDefault="00F301E9" w:rsidP="00F301E9">
      <w:pPr>
        <w:spacing w:after="0" w:line="360" w:lineRule="auto"/>
        <w:jc w:val="both"/>
        <w:rPr>
          <w:rFonts w:ascii="GalanoGrotesque-Light" w:eastAsia="Calibri" w:hAnsi="GalanoGrotesque-Light" w:cs="Times New Roman"/>
          <w:b/>
          <w:lang w:val="es-ES"/>
        </w:rPr>
      </w:pPr>
    </w:p>
    <w:p w:rsidR="00F301E9" w:rsidRPr="00F301E9" w:rsidRDefault="00F301E9" w:rsidP="00F301E9">
      <w:pPr>
        <w:spacing w:after="0" w:line="360" w:lineRule="auto"/>
        <w:jc w:val="both"/>
        <w:rPr>
          <w:rFonts w:ascii="GalanoGrotesque-Light" w:eastAsia="Calibri" w:hAnsi="GalanoGrotesque-Light" w:cs="Times New Roman"/>
          <w:b/>
          <w:lang w:val="es-ES"/>
        </w:rPr>
      </w:pPr>
      <w:r w:rsidRPr="00F301E9">
        <w:rPr>
          <w:rFonts w:ascii="GalanoGrotesque-Light" w:eastAsia="Calibri" w:hAnsi="GalanoGrotesque-Light" w:cs="Times New Roman"/>
          <w:b/>
          <w:lang w:val="es-ES"/>
        </w:rPr>
        <w:t>2. Patrimonio Estatal/Patrimonio Generado</w:t>
      </w: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color w:val="000000"/>
          <w:lang w:val="es-ES"/>
        </w:rPr>
        <w:t>Representa la acumulación de resultados de la gestión de ejercicios anteriores, incluyendo las aplicadas a reservas, resultados del ejercicio en operación y los eventos identificables y cuantificables de ejercicios anteriores que le afectan de acuerdo con los lineamientos emitidos por el Consejo Nacional de Armonización Contable.</w:t>
      </w: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color w:val="000000"/>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color w:val="000000"/>
          <w:lang w:val="es-ES"/>
        </w:rPr>
      </w:pPr>
      <w:r w:rsidRPr="00F301E9">
        <w:rPr>
          <w:rFonts w:ascii="GalanoGrotesque-Light" w:eastAsia="Calibri" w:hAnsi="GalanoGrotesque-Light" w:cs="Times New Roman"/>
          <w:noProof/>
          <w:sz w:val="24"/>
          <w:szCs w:val="24"/>
          <w:lang w:eastAsia="es-MX"/>
        </w:rPr>
        <w:drawing>
          <wp:inline distT="0" distB="0" distL="0" distR="0" wp14:anchorId="442EFA7A" wp14:editId="594BE4A6">
            <wp:extent cx="6351270" cy="684182"/>
            <wp:effectExtent l="0" t="0" r="0" b="1905"/>
            <wp:docPr id="312330859" name="Imagen 31233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351270" cy="684182"/>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color w:val="000000"/>
          <w:lang w:val="es-ES"/>
        </w:rPr>
      </w:pPr>
    </w:p>
    <w:p w:rsidR="00F301E9" w:rsidRPr="00F301E9" w:rsidRDefault="00F301E9" w:rsidP="00F301E9">
      <w:pPr>
        <w:spacing w:after="0" w:line="360" w:lineRule="auto"/>
        <w:jc w:val="both"/>
        <w:rPr>
          <w:rFonts w:ascii="Arial" w:eastAsia="Calibri" w:hAnsi="Arial" w:cs="Arial"/>
          <w:b/>
          <w:color w:val="000000"/>
          <w:lang w:val="es-ES"/>
        </w:rPr>
      </w:pPr>
      <w:r w:rsidRPr="00F301E9">
        <w:rPr>
          <w:rFonts w:ascii="GalanoGrotesque-Light" w:eastAsia="Calibri" w:hAnsi="GalanoGrotesque-Light" w:cs="Times New Roman"/>
          <w:b/>
          <w:lang w:val="es-ES"/>
        </w:rPr>
        <w:t>Resultado del Ejercicio</w:t>
      </w:r>
      <w:r w:rsidRPr="00F301E9">
        <w:rPr>
          <w:rFonts w:ascii="Arial" w:eastAsia="Calibri" w:hAnsi="Arial" w:cs="Arial"/>
          <w:b/>
          <w:color w:val="000000"/>
          <w:lang w:val="es-ES"/>
        </w:rPr>
        <w:t xml:space="preserve"> </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El monto de 3</w:t>
      </w:r>
      <w:r w:rsidRPr="00F301E9">
        <w:rPr>
          <w:rFonts w:ascii="GalanoGrotesque-Light" w:eastAsia="Calibri" w:hAnsi="GalanoGrotesque-Light" w:cs="Times New Roman"/>
          <w:color w:val="000000"/>
          <w:lang w:val="es-ES"/>
        </w:rPr>
        <w:t xml:space="preserve"> mil 932 millones 262 mil 524 pesos</w:t>
      </w:r>
      <w:r w:rsidRPr="00F301E9">
        <w:rPr>
          <w:rFonts w:ascii="GalanoGrotesque-Light" w:eastAsia="Times New Roman" w:hAnsi="GalanoGrotesque-Light" w:cs="Times New Roman"/>
          <w:color w:val="000000"/>
          <w:lang w:val="es-ES" w:eastAsia="es-MX"/>
        </w:rPr>
        <w:t>, representa un ahorro del ejercicio, anteriormente denominado superávit, por la diferencia resultante entre el total de los ingresos (mismos que incluyen los Recursos Federales) y el total de los gastos devengados al cierre del mismo.</w:t>
      </w:r>
    </w:p>
    <w:p w:rsidR="00F301E9" w:rsidRPr="00F301E9" w:rsidRDefault="00F301E9" w:rsidP="00F301E9">
      <w:pPr>
        <w:spacing w:after="0" w:line="360" w:lineRule="auto"/>
        <w:jc w:val="both"/>
        <w:rPr>
          <w:rFonts w:ascii="Arial" w:eastAsia="Calibri" w:hAnsi="Arial" w:cs="Arial"/>
          <w:b/>
          <w:color w:val="000000"/>
          <w:lang w:val="es-ES"/>
        </w:rPr>
      </w:pPr>
      <w:r w:rsidRPr="00F301E9">
        <w:rPr>
          <w:rFonts w:ascii="GalanoGrotesque-Light" w:eastAsia="Calibri" w:hAnsi="GalanoGrotesque-Light" w:cs="Times New Roman"/>
          <w:b/>
          <w:lang w:val="es-ES"/>
        </w:rPr>
        <w:t>Resultado de Ejercicios Anteriores</w:t>
      </w:r>
      <w:r w:rsidRPr="00F301E9">
        <w:rPr>
          <w:rFonts w:ascii="Arial" w:eastAsia="Calibri" w:hAnsi="Arial" w:cs="Arial"/>
          <w:b/>
          <w:color w:val="000000"/>
          <w:lang w:val="es-ES"/>
        </w:rPr>
        <w:t xml:space="preserve"> </w:t>
      </w:r>
    </w:p>
    <w:p w:rsidR="00F301E9" w:rsidRPr="00F301E9" w:rsidRDefault="00F301E9" w:rsidP="00F301E9">
      <w:pPr>
        <w:spacing w:after="0" w:line="360" w:lineRule="auto"/>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Representa el saldo acumulado de los resultados obtenidos de ejercicios anteriores, el cual refleja un ahorro (superávit) de 17 mil 889 millones 342 mil 440 pesos, en donde ya se incluye el resultado superavitario o ahorro que se obtuvo en el ejercicio 2024 por un importe de 3</w:t>
      </w:r>
      <w:r w:rsidRPr="00F301E9">
        <w:rPr>
          <w:rFonts w:ascii="GalanoGrotesque-Light" w:eastAsia="Calibri" w:hAnsi="GalanoGrotesque-Light" w:cs="Times New Roman"/>
          <w:color w:val="000000"/>
          <w:lang w:val="es-ES"/>
        </w:rPr>
        <w:t xml:space="preserve"> mil 166 millones 477 mil 309 pesos</w:t>
      </w:r>
      <w:r w:rsidRPr="00F301E9">
        <w:rPr>
          <w:rFonts w:ascii="GalanoGrotesque-Light" w:eastAsia="Times New Roman" w:hAnsi="GalanoGrotesque-Light" w:cs="Times New Roman"/>
          <w:color w:val="000000"/>
          <w:lang w:val="es-ES" w:eastAsia="es-MX"/>
        </w:rPr>
        <w:t>.</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spacing w:after="0" w:line="360" w:lineRule="auto"/>
        <w:jc w:val="both"/>
        <w:rPr>
          <w:rFonts w:ascii="Arial" w:eastAsia="Calibri" w:hAnsi="Arial" w:cs="Arial"/>
          <w:b/>
          <w:color w:val="000000"/>
          <w:lang w:val="es-ES"/>
        </w:rPr>
      </w:pPr>
      <w:r w:rsidRPr="00F301E9">
        <w:rPr>
          <w:rFonts w:ascii="GalanoGrotesque-Light" w:eastAsia="Calibri" w:hAnsi="GalanoGrotesque-Light" w:cs="Times New Roman"/>
          <w:b/>
          <w:lang w:val="es-ES"/>
        </w:rPr>
        <w:t>Rectificaciones de Resultado de Ejercicios Anteriores</w:t>
      </w:r>
      <w:r w:rsidRPr="00F301E9">
        <w:rPr>
          <w:rFonts w:ascii="Arial" w:eastAsia="Calibri" w:hAnsi="Arial" w:cs="Arial"/>
          <w:b/>
          <w:color w:val="000000"/>
          <w:lang w:val="es-ES"/>
        </w:rPr>
        <w:t xml:space="preserve"> </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 xml:space="preserve">En esta cuenta se establece el importe correspondiente a la corrección de las omisiones, inexactitudes e imprecisiones de registros en los estados financieros de los entes públicos, o bien por los registros contables extemporáneos, por correcciones por errores aritméticos, por errores en la aplicación de políticas </w:t>
      </w:r>
      <w:r w:rsidRPr="00F301E9">
        <w:rPr>
          <w:rFonts w:ascii="GalanoGrotesque-Light" w:eastAsia="Times New Roman" w:hAnsi="GalanoGrotesque-Light" w:cs="Times New Roman"/>
          <w:color w:val="000000"/>
          <w:lang w:val="es-ES" w:eastAsia="es-MX"/>
        </w:rPr>
        <w:lastRenderedPageBreak/>
        <w:t>contables, así como la inadvertencia o mala interpretación de hechos.</w:t>
      </w: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r w:rsidRPr="00F301E9">
        <w:rPr>
          <w:rFonts w:ascii="GalanoGrotesque-Light" w:eastAsia="Calibri" w:hAnsi="GalanoGrotesque-Light" w:cs="Times New Roman"/>
          <w:b/>
          <w:sz w:val="24"/>
          <w:szCs w:val="36"/>
          <w:lang w:val="es-ES"/>
        </w:rPr>
        <w:t>IV) NOTAS AL ESTADO DE FLUJOS DE EFECTIVO</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1.- La integración de los saldos inicial y final al 31 de diciembre de 2025 del Efectivo y Equivalentes, que figuran en la última parte del Estado de Flujo de Efectivo en esta cuenta es la siguiente:</w:t>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Calibri" w:hAnsi="GalanoGrotesque-Light" w:cs="Times New Roman"/>
          <w:noProof/>
          <w:sz w:val="24"/>
          <w:szCs w:val="24"/>
          <w:lang w:eastAsia="es-MX"/>
        </w:rPr>
        <w:drawing>
          <wp:inline distT="0" distB="0" distL="0" distR="0" wp14:anchorId="4F8F9556" wp14:editId="5260E6B2">
            <wp:extent cx="6351270" cy="994868"/>
            <wp:effectExtent l="0" t="0" r="0" b="0"/>
            <wp:docPr id="312330860" name="Imagen 31233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51270" cy="994868"/>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301E9" w:rsidRPr="00F301E9" w:rsidRDefault="00F301E9" w:rsidP="00F301E9">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301E9">
        <w:rPr>
          <w:rFonts w:ascii="GalanoGrotesque-Light" w:eastAsia="Times New Roman" w:hAnsi="GalanoGrotesque-Light" w:cs="Times New Roman"/>
          <w:color w:val="000000"/>
          <w:lang w:val="es-ES" w:eastAsia="es-MX"/>
        </w:rPr>
        <w:t xml:space="preserve"> </w:t>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eastAsia="es-MX"/>
        </w:rPr>
      </w:pPr>
      <w:r w:rsidRPr="00F301E9">
        <w:rPr>
          <w:rFonts w:ascii="GalanoGrotesque-Light" w:eastAsia="Calibri" w:hAnsi="GalanoGrotesque-Light" w:cs="Times New Roman"/>
          <w:sz w:val="24"/>
          <w:szCs w:val="24"/>
          <w:lang w:val="es-ES" w:eastAsia="es-MX"/>
        </w:rPr>
        <w:t xml:space="preserve">2.- Detallar las adquisiciones de las Actividades de Inversión efectivamente pagadas, respecto del apartado de aplicación. </w:t>
      </w:r>
    </w:p>
    <w:p w:rsidR="00F301E9" w:rsidRPr="00F301E9" w:rsidRDefault="00F301E9" w:rsidP="00F301E9">
      <w:pPr>
        <w:autoSpaceDE w:val="0"/>
        <w:autoSpaceDN w:val="0"/>
        <w:adjustRightInd w:val="0"/>
        <w:spacing w:after="0" w:line="240" w:lineRule="auto"/>
        <w:jc w:val="both"/>
        <w:rPr>
          <w:rFonts w:ascii="GalanoGrotesque-Light" w:eastAsia="Times New Roman" w:hAnsi="GalanoGrotesque-Light" w:cs="Times New Roman"/>
          <w:color w:val="000000"/>
          <w:lang w:val="es-ES" w:eastAsia="es-MX"/>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eastAsia="es-MX"/>
        </w:rPr>
      </w:pPr>
      <w:r w:rsidRPr="00F301E9">
        <w:rPr>
          <w:rFonts w:ascii="GalanoGrotesque-Light" w:eastAsia="Calibri" w:hAnsi="GalanoGrotesque-Light" w:cs="Times New Roman"/>
          <w:sz w:val="24"/>
          <w:szCs w:val="24"/>
          <w:lang w:val="es-ES" w:eastAsia="es-MX"/>
        </w:rPr>
        <w:t>La información del cuadro siguiente, fue comparada con el registro existente en el Sistema Integral de Gestión de Recursos Gubernamentales denominado SAP, sobre la inversión efectivamente pagada,  y en relación a los Bienes Muebles e Inmuebles, que se tienen controlados en la Dirección de Patrimonio Estatal, con fundamentado en el artículo 35, Fracción II, del Reglamento Interior de la Secretaría de Finanzas y Administración, así como en el numeral 1.3.2, del Manual de Organización de la Secretaría de Finanzas y Administración.</w:t>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eastAsia="es-MX"/>
        </w:rPr>
      </w:pPr>
      <w:r w:rsidRPr="00F301E9">
        <w:rPr>
          <w:rFonts w:ascii="GalanoGrotesque-Light" w:eastAsia="Calibri" w:hAnsi="GalanoGrotesque-Light" w:cs="Times New Roman"/>
          <w:noProof/>
          <w:sz w:val="24"/>
          <w:szCs w:val="24"/>
          <w:lang w:eastAsia="es-MX"/>
        </w:rPr>
        <w:lastRenderedPageBreak/>
        <w:drawing>
          <wp:inline distT="0" distB="0" distL="0" distR="0" wp14:anchorId="6A7F2E6D" wp14:editId="2C24FDCA">
            <wp:extent cx="6172200" cy="27908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72200" cy="2790825"/>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r w:rsidRPr="00F301E9">
        <w:rPr>
          <w:rFonts w:ascii="GalanoGrotesque-Light" w:eastAsia="Calibri" w:hAnsi="GalanoGrotesque-Light" w:cs="Times New Roman"/>
          <w:b/>
          <w:sz w:val="24"/>
          <w:szCs w:val="36"/>
          <w:lang w:val="es-ES"/>
        </w:rPr>
        <w:t xml:space="preserve">V) CONCILIACIÓN ENTRE LOS INGRESOS PRESUPUESTARIOS Y CONTABLES, ASÍ COMO ENTRE LOS EGRESOS PRESUPUESTARIOS Y LOS GASTOS </w:t>
      </w:r>
      <w:r w:rsidRPr="00F301E9">
        <w:rPr>
          <w:rFonts w:ascii="GalanoGrotesque-Light" w:eastAsia="Calibri" w:hAnsi="GalanoGrotesque-Light" w:cs="Times New Roman"/>
          <w:b/>
          <w:sz w:val="24"/>
          <w:szCs w:val="36"/>
          <w:lang w:val="es-ES"/>
        </w:rPr>
        <w:lastRenderedPageBreak/>
        <w:t>CONTABLES</w:t>
      </w: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r w:rsidRPr="00F301E9">
        <w:rPr>
          <w:rFonts w:ascii="GalanoGrotesque-Light" w:eastAsia="Calibri" w:hAnsi="GalanoGrotesque-Light" w:cs="Times New Roman"/>
          <w:noProof/>
          <w:sz w:val="24"/>
          <w:szCs w:val="24"/>
          <w:lang w:eastAsia="es-MX"/>
        </w:rPr>
        <w:drawing>
          <wp:inline distT="0" distB="0" distL="0" distR="0" wp14:anchorId="22290155" wp14:editId="1A24D048">
            <wp:extent cx="6351270" cy="3028647"/>
            <wp:effectExtent l="0" t="0" r="0" b="63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51270" cy="3028647"/>
                    </a:xfrm>
                    <a:prstGeom prst="rect">
                      <a:avLst/>
                    </a:prstGeom>
                    <a:noFill/>
                    <a:ln>
                      <a:noFill/>
                    </a:ln>
                  </pic:spPr>
                </pic:pic>
              </a:graphicData>
            </a:graphic>
          </wp:inline>
        </w:drawing>
      </w:r>
    </w:p>
    <w:p w:rsidR="00F301E9" w:rsidRPr="00F301E9" w:rsidRDefault="00F301E9" w:rsidP="00F301E9">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r w:rsidRPr="00F301E9">
        <w:rPr>
          <w:rFonts w:ascii="GalanoGrotesque-Light" w:eastAsia="Calibri" w:hAnsi="GalanoGrotesque-Light" w:cs="Times New Roman"/>
          <w:noProof/>
          <w:sz w:val="24"/>
          <w:szCs w:val="24"/>
          <w:lang w:eastAsia="es-MX"/>
        </w:rPr>
        <w:lastRenderedPageBreak/>
        <w:drawing>
          <wp:inline distT="0" distB="0" distL="0" distR="0" wp14:anchorId="115708B1" wp14:editId="52F51A0F">
            <wp:extent cx="6351270" cy="7062973"/>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1270" cy="7062973"/>
                    </a:xfrm>
                    <a:prstGeom prst="rect">
                      <a:avLst/>
                    </a:prstGeom>
                    <a:noFill/>
                    <a:ln>
                      <a:noFill/>
                    </a:ln>
                  </pic:spPr>
                </pic:pic>
              </a:graphicData>
            </a:graphic>
          </wp:inline>
        </w:drawing>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after="0" w:line="360" w:lineRule="auto"/>
        <w:jc w:val="center"/>
        <w:rPr>
          <w:rFonts w:ascii="GalanoGrotesque-Light" w:eastAsia="Calibri" w:hAnsi="GalanoGrotesque-Light" w:cs="Times New Roman"/>
          <w:b/>
          <w:sz w:val="28"/>
          <w:szCs w:val="28"/>
          <w:lang w:val="es-ES"/>
        </w:rPr>
      </w:pPr>
      <w:r w:rsidRPr="00F301E9">
        <w:rPr>
          <w:rFonts w:ascii="GalanoGrotesque-Light" w:eastAsia="Calibri" w:hAnsi="GalanoGrotesque-Light" w:cs="Times New Roman"/>
          <w:b/>
          <w:sz w:val="28"/>
          <w:szCs w:val="28"/>
          <w:lang w:val="es-ES"/>
        </w:rPr>
        <w:lastRenderedPageBreak/>
        <w:t>c) NOTAS DE MEMORIA (CUENTAS DE ORDEN)</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Contiene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Las cuentas que se manejan para efectos de estas Notas son las siguientes:</w:t>
      </w:r>
    </w:p>
    <w:p w:rsidR="00F301E9" w:rsidRPr="00F301E9" w:rsidRDefault="00F301E9" w:rsidP="00F301E9">
      <w:pPr>
        <w:spacing w:before="60" w:after="60" w:line="360" w:lineRule="auto"/>
        <w:jc w:val="both"/>
        <w:rPr>
          <w:rFonts w:ascii="GalanoGrotesque-Light" w:eastAsia="Calibri" w:hAnsi="GalanoGrotesque-Light" w:cs="Times New Roman"/>
          <w:b/>
          <w:szCs w:val="24"/>
          <w:lang w:val="es-ES"/>
        </w:rPr>
      </w:pPr>
      <w:r w:rsidRPr="00F301E9">
        <w:rPr>
          <w:rFonts w:ascii="GalanoGrotesque-Light" w:eastAsia="Calibri" w:hAnsi="GalanoGrotesque-Light" w:cs="Times New Roman"/>
          <w:b/>
          <w:szCs w:val="24"/>
          <w:lang w:val="es-ES"/>
        </w:rPr>
        <w:t>Cuentas de Orden Contables:</w:t>
      </w:r>
    </w:p>
    <w:p w:rsidR="00F301E9" w:rsidRPr="00F301E9" w:rsidRDefault="00F301E9" w:rsidP="00F301E9">
      <w:pPr>
        <w:spacing w:before="60" w:after="60" w:line="360" w:lineRule="auto"/>
        <w:jc w:val="both"/>
        <w:rPr>
          <w:rFonts w:ascii="GalanoGrotesque-Light" w:eastAsia="Calibri" w:hAnsi="GalanoGrotesque-Light" w:cs="Times New Roman"/>
          <w:b/>
          <w:szCs w:val="24"/>
          <w:lang w:val="es-ES"/>
        </w:rPr>
      </w:pPr>
      <w:r w:rsidRPr="00F301E9">
        <w:rPr>
          <w:rFonts w:ascii="GalanoGrotesque-Light" w:eastAsia="Calibri" w:hAnsi="GalanoGrotesque-Light" w:cs="Times New Roman"/>
          <w:b/>
          <w:szCs w:val="24"/>
          <w:lang w:val="es-ES"/>
        </w:rPr>
        <w:t>Valores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Sin información que revelar durante el periodo que se informa.</w:t>
      </w:r>
    </w:p>
    <w:p w:rsidR="00F301E9" w:rsidRPr="00F301E9" w:rsidRDefault="00F301E9" w:rsidP="00F301E9">
      <w:pPr>
        <w:spacing w:before="60" w:after="60" w:line="360" w:lineRule="auto"/>
        <w:jc w:val="both"/>
        <w:rPr>
          <w:rFonts w:ascii="GalanoGrotesque-Light" w:eastAsia="Calibri" w:hAnsi="GalanoGrotesque-Light" w:cs="Times New Roman"/>
          <w:b/>
          <w:szCs w:val="24"/>
          <w:lang w:val="es-ES"/>
        </w:rPr>
      </w:pPr>
      <w:r w:rsidRPr="00F301E9">
        <w:rPr>
          <w:rFonts w:ascii="GalanoGrotesque-Light" w:eastAsia="Calibri" w:hAnsi="GalanoGrotesque-Light" w:cs="Times New Roman"/>
          <w:b/>
          <w:szCs w:val="24"/>
          <w:lang w:val="es-ES"/>
        </w:rPr>
        <w:t>Emisión de Obligaciones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Sin información que revelar durante el periodo que se informa.</w:t>
      </w:r>
    </w:p>
    <w:p w:rsidR="00F301E9" w:rsidRPr="00F301E9" w:rsidRDefault="00F301E9" w:rsidP="00F301E9">
      <w:pPr>
        <w:spacing w:before="60" w:after="60" w:line="360" w:lineRule="auto"/>
        <w:jc w:val="both"/>
        <w:rPr>
          <w:rFonts w:ascii="GalanoGrotesque-Light" w:eastAsia="Calibri" w:hAnsi="GalanoGrotesque-Light" w:cs="Times New Roman"/>
          <w:b/>
          <w:szCs w:val="24"/>
          <w:lang w:val="es-ES"/>
        </w:rPr>
      </w:pPr>
      <w:r w:rsidRPr="00F301E9">
        <w:rPr>
          <w:rFonts w:ascii="GalanoGrotesque-Light" w:eastAsia="Calibri" w:hAnsi="GalanoGrotesque-Light" w:cs="Times New Roman"/>
          <w:b/>
          <w:szCs w:val="24"/>
          <w:lang w:val="es-ES"/>
        </w:rPr>
        <w:t>Avales y Garantías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Sin información que revelar durante el periodo que se informa.</w:t>
      </w:r>
    </w:p>
    <w:p w:rsidR="00F301E9" w:rsidRPr="00F301E9" w:rsidRDefault="00F301E9" w:rsidP="00F301E9">
      <w:pPr>
        <w:spacing w:before="60" w:after="60" w:line="360" w:lineRule="auto"/>
        <w:jc w:val="both"/>
        <w:rPr>
          <w:rFonts w:ascii="GalanoGrotesque-Light" w:eastAsia="Calibri" w:hAnsi="GalanoGrotesque-Light" w:cs="Times New Roman"/>
          <w:b/>
          <w:szCs w:val="24"/>
          <w:lang w:val="es-ES"/>
        </w:rPr>
      </w:pPr>
      <w:r w:rsidRPr="00F301E9">
        <w:rPr>
          <w:rFonts w:ascii="GalanoGrotesque-Light" w:eastAsia="Calibri" w:hAnsi="GalanoGrotesque-Light" w:cs="Times New Roman"/>
          <w:b/>
          <w:szCs w:val="24"/>
          <w:lang w:val="es-ES"/>
        </w:rPr>
        <w:t>Juicios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Sin información que revelar durante el periodo que se informa.</w:t>
      </w:r>
    </w:p>
    <w:p w:rsidR="00F301E9" w:rsidRPr="00F301E9" w:rsidRDefault="00F301E9" w:rsidP="00F301E9">
      <w:pPr>
        <w:spacing w:before="60" w:after="60" w:line="360" w:lineRule="auto"/>
        <w:jc w:val="both"/>
        <w:rPr>
          <w:rFonts w:ascii="GalanoGrotesque-Light" w:eastAsia="Calibri" w:hAnsi="GalanoGrotesque-Light" w:cs="Times New Roman"/>
          <w:b/>
          <w:szCs w:val="24"/>
          <w:lang w:val="es-ES"/>
        </w:rPr>
      </w:pPr>
      <w:r w:rsidRPr="00F301E9">
        <w:rPr>
          <w:rFonts w:ascii="GalanoGrotesque-Light" w:eastAsia="Calibri" w:hAnsi="GalanoGrotesque-Light" w:cs="Times New Roman"/>
          <w:b/>
          <w:szCs w:val="24"/>
          <w:lang w:val="es-ES"/>
        </w:rPr>
        <w:t>Inversión Mediante Proyectos para Prestación de Servicios (PPS) y Similares</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Sin información que revelar durante el periodo que se informa.</w:t>
      </w:r>
    </w:p>
    <w:p w:rsidR="00F301E9" w:rsidRPr="00F301E9" w:rsidRDefault="00F301E9" w:rsidP="00F301E9">
      <w:pPr>
        <w:spacing w:before="60" w:after="60" w:line="360" w:lineRule="auto"/>
        <w:jc w:val="both"/>
        <w:rPr>
          <w:rFonts w:ascii="GalanoGrotesque-Light" w:eastAsia="Calibri" w:hAnsi="GalanoGrotesque-Light" w:cs="Times New Roman"/>
          <w:b/>
          <w:szCs w:val="24"/>
          <w:lang w:val="es-ES"/>
        </w:rPr>
      </w:pPr>
      <w:r w:rsidRPr="00F301E9">
        <w:rPr>
          <w:rFonts w:ascii="GalanoGrotesque-Light" w:eastAsia="Calibri" w:hAnsi="GalanoGrotesque-Light" w:cs="Times New Roman"/>
          <w:b/>
          <w:szCs w:val="24"/>
          <w:lang w:val="es-ES"/>
        </w:rPr>
        <w:t>Bienes Concesionados o en Comodato</w:t>
      </w:r>
    </w:p>
    <w:p w:rsidR="00F301E9" w:rsidRPr="00F301E9" w:rsidRDefault="00F301E9" w:rsidP="00F301E9">
      <w:pPr>
        <w:spacing w:before="60" w:after="60" w:line="360" w:lineRule="auto"/>
        <w:jc w:val="both"/>
        <w:rPr>
          <w:rFonts w:ascii="GalanoGrotesque-Light" w:eastAsia="Calibri" w:hAnsi="GalanoGrotesque-Light" w:cs="Times New Roman"/>
          <w:szCs w:val="24"/>
          <w:lang w:val="es-ES"/>
        </w:rPr>
      </w:pPr>
      <w:r w:rsidRPr="00F301E9">
        <w:rPr>
          <w:rFonts w:ascii="GalanoGrotesque-Light" w:eastAsia="Calibri" w:hAnsi="GalanoGrotesque-Light" w:cs="Times New Roman"/>
          <w:szCs w:val="24"/>
          <w:lang w:val="es-ES"/>
        </w:rPr>
        <w:t>Sin información que revelar durante el periodo que se informa.</w:t>
      </w: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before="60" w:after="60" w:line="360" w:lineRule="auto"/>
        <w:jc w:val="both"/>
        <w:rPr>
          <w:rFonts w:ascii="GalanoGrotesque-Light" w:eastAsia="Calibri" w:hAnsi="GalanoGrotesque-Light" w:cs="Times New Roman"/>
          <w:sz w:val="24"/>
          <w:szCs w:val="24"/>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Se informa lo siguiente:</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1. Los valores en custodia de instrumentos prestados a formadores de mercado e instrumentos de crédito recibidos en garantía de los formadores de mercado u otros.</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Sin información que revelar durante el periodo que se informa.</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2. Por tipo de emisión de instrumento: monto, tasa y vencimiento.</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Sin información que revelar durante el periodo que se informa.</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3. Los contratos firmados de construcciones por tipo de contrato.</w:t>
      </w: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Sin información que revelar durante el periodo que se informa.</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No se presentan otro tipo de cuentas de orden contable.</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Cuentas de Orden Presupuestario</w:t>
      </w:r>
    </w:p>
    <w:p w:rsidR="00F301E9" w:rsidRPr="00F301E9" w:rsidRDefault="00F301E9" w:rsidP="00F301E9">
      <w:pPr>
        <w:spacing w:after="0" w:line="360" w:lineRule="auto"/>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Cuentas de ingresos</w:t>
      </w:r>
    </w:p>
    <w:p w:rsidR="00F301E9" w:rsidRPr="00F301E9" w:rsidRDefault="00F301E9" w:rsidP="00F301E9">
      <w:pPr>
        <w:spacing w:after="0" w:line="360" w:lineRule="auto"/>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Cuentas de Orden Presupuestarias de Ingresos</w:t>
      </w:r>
    </w:p>
    <w:p w:rsidR="00F301E9" w:rsidRPr="00F301E9" w:rsidRDefault="00F301E9" w:rsidP="00F301E9">
      <w:pPr>
        <w:spacing w:after="0" w:line="360" w:lineRule="auto"/>
        <w:jc w:val="both"/>
        <w:rPr>
          <w:rFonts w:ascii="GalanoGrotesque-Light" w:eastAsia="Calibri" w:hAnsi="GalanoGrotesque-Light" w:cs="Times New Roman"/>
          <w:bCs/>
          <w:lang w:val="es-ES"/>
        </w:rPr>
      </w:pPr>
    </w:p>
    <w:tbl>
      <w:tblPr>
        <w:tblW w:w="6031" w:type="dxa"/>
        <w:tblInd w:w="1023" w:type="dxa"/>
        <w:tblCellMar>
          <w:left w:w="10" w:type="dxa"/>
          <w:right w:w="10" w:type="dxa"/>
        </w:tblCellMar>
        <w:tblLook w:val="04A0" w:firstRow="1" w:lastRow="0" w:firstColumn="1" w:lastColumn="0" w:noHBand="0" w:noVBand="1"/>
      </w:tblPr>
      <w:tblGrid>
        <w:gridCol w:w="3438"/>
        <w:gridCol w:w="2593"/>
      </w:tblGrid>
      <w:tr w:rsidR="00F301E9" w:rsidRPr="00F301E9" w:rsidTr="005D0231">
        <w:tc>
          <w:tcPr>
            <w:tcW w:w="603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Cuentas de Orden Presupuestarias de Ingresos</w:t>
            </w:r>
          </w:p>
        </w:tc>
      </w:tr>
      <w:tr w:rsidR="00F301E9" w:rsidRPr="00F301E9" w:rsidTr="005D0231">
        <w:tc>
          <w:tcPr>
            <w:tcW w:w="3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Concepto</w:t>
            </w:r>
          </w:p>
        </w:tc>
        <w:tc>
          <w:tcPr>
            <w:tcW w:w="25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2025</w:t>
            </w:r>
          </w:p>
        </w:tc>
      </w:tr>
      <w:tr w:rsidR="00F301E9" w:rsidRPr="00F301E9" w:rsidTr="005D0231">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Ley de Ingresos Estimada</w:t>
            </w:r>
          </w:p>
        </w:tc>
        <w:tc>
          <w:tcPr>
            <w:tcW w:w="2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98,935,474,315.00</w:t>
            </w:r>
          </w:p>
        </w:tc>
      </w:tr>
      <w:tr w:rsidR="00F301E9" w:rsidRPr="00F301E9" w:rsidTr="005D0231">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Ley de Ingresos por Ejecutar</w:t>
            </w:r>
          </w:p>
        </w:tc>
        <w:tc>
          <w:tcPr>
            <w:tcW w:w="2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0.00</w:t>
            </w:r>
          </w:p>
          <w:p w:rsidR="00F301E9" w:rsidRPr="00F301E9" w:rsidRDefault="00F301E9" w:rsidP="00F301E9">
            <w:pPr>
              <w:spacing w:after="0" w:line="360" w:lineRule="auto"/>
              <w:jc w:val="both"/>
              <w:rPr>
                <w:rFonts w:ascii="GalanoGrotesque-Light" w:eastAsia="Calibri" w:hAnsi="GalanoGrotesque-Light" w:cs="Times New Roman"/>
                <w:bCs/>
                <w:lang w:val="es-ES"/>
              </w:rPr>
            </w:pPr>
          </w:p>
        </w:tc>
      </w:tr>
      <w:tr w:rsidR="00F301E9" w:rsidRPr="00F301E9" w:rsidTr="005D0231">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Modificaciones a la Ley de Ingresos Estimada</w:t>
            </w:r>
          </w:p>
        </w:tc>
        <w:tc>
          <w:tcPr>
            <w:tcW w:w="2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11,388,877,920.43</w:t>
            </w:r>
          </w:p>
        </w:tc>
      </w:tr>
      <w:tr w:rsidR="00F301E9" w:rsidRPr="00F301E9" w:rsidTr="005D0231">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Ley de Ingresos Devengada</w:t>
            </w:r>
          </w:p>
        </w:tc>
        <w:tc>
          <w:tcPr>
            <w:tcW w:w="2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0.00</w:t>
            </w:r>
          </w:p>
        </w:tc>
      </w:tr>
      <w:tr w:rsidR="00F301E9" w:rsidRPr="00F301E9" w:rsidTr="005D0231">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Ley de Ingresos Recaudada</w:t>
            </w:r>
          </w:p>
        </w:tc>
        <w:tc>
          <w:tcPr>
            <w:tcW w:w="2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110,324,352,235.43</w:t>
            </w:r>
          </w:p>
        </w:tc>
      </w:tr>
    </w:tbl>
    <w:p w:rsidR="00F301E9" w:rsidRPr="00F301E9" w:rsidRDefault="00F301E9" w:rsidP="00F301E9">
      <w:pPr>
        <w:spacing w:after="0" w:line="360" w:lineRule="auto"/>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p>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lastRenderedPageBreak/>
        <w:t>Cuentas de egresos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Cuentas de Orden Presupuestarias de egresos</w:t>
      </w: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p>
    <w:tbl>
      <w:tblPr>
        <w:tblW w:w="6031" w:type="dxa"/>
        <w:tblInd w:w="1023" w:type="dxa"/>
        <w:tblCellMar>
          <w:left w:w="10" w:type="dxa"/>
          <w:right w:w="10" w:type="dxa"/>
        </w:tblCellMar>
        <w:tblLook w:val="04A0" w:firstRow="1" w:lastRow="0" w:firstColumn="1" w:lastColumn="0" w:noHBand="0" w:noVBand="1"/>
      </w:tblPr>
      <w:tblGrid>
        <w:gridCol w:w="3438"/>
        <w:gridCol w:w="2593"/>
      </w:tblGrid>
      <w:tr w:rsidR="00F301E9" w:rsidRPr="00F301E9" w:rsidTr="005D0231">
        <w:tc>
          <w:tcPr>
            <w:tcW w:w="603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Cuentas de Orden Presupuestarias de Egresos</w:t>
            </w:r>
          </w:p>
        </w:tc>
      </w:tr>
      <w:tr w:rsidR="00F301E9" w:rsidRPr="00F301E9" w:rsidTr="005D0231">
        <w:tc>
          <w:tcPr>
            <w:tcW w:w="40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Concepto</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301E9" w:rsidRPr="00F301E9" w:rsidRDefault="00F301E9" w:rsidP="00F301E9">
            <w:pPr>
              <w:spacing w:after="0" w:line="360" w:lineRule="auto"/>
              <w:jc w:val="center"/>
              <w:rPr>
                <w:rFonts w:ascii="GalanoGrotesque-Light" w:eastAsia="Calibri" w:hAnsi="GalanoGrotesque-Light" w:cs="Times New Roman"/>
                <w:b/>
                <w:bCs/>
                <w:lang w:val="es-ES"/>
              </w:rPr>
            </w:pPr>
            <w:r w:rsidRPr="00F301E9">
              <w:rPr>
                <w:rFonts w:ascii="GalanoGrotesque-Light" w:eastAsia="Calibri" w:hAnsi="GalanoGrotesque-Light" w:cs="Times New Roman"/>
                <w:b/>
                <w:bCs/>
                <w:lang w:val="es-ES"/>
              </w:rPr>
              <w:t>2025</w:t>
            </w:r>
          </w:p>
        </w:tc>
      </w:tr>
      <w:tr w:rsidR="00F301E9" w:rsidRPr="00F301E9" w:rsidTr="005D0231">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Presupuesto de Egresos Aprobado</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right"/>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98,935,474,315.00</w:t>
            </w:r>
          </w:p>
        </w:tc>
      </w:tr>
      <w:tr w:rsidR="00F301E9" w:rsidRPr="00F301E9" w:rsidTr="005D0231">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Presupuesto de Egresos por Ejercer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right"/>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1,985,915,007.28</w:t>
            </w:r>
          </w:p>
        </w:tc>
      </w:tr>
      <w:tr w:rsidR="00F301E9" w:rsidRPr="00F301E9" w:rsidTr="005D0231">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Modificaciones al Presupuesto de Egresos Aprobado</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right"/>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11,788,578,238.44</w:t>
            </w:r>
          </w:p>
        </w:tc>
      </w:tr>
      <w:tr w:rsidR="00F301E9" w:rsidRPr="00F301E9" w:rsidTr="005D0231">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Presupuesto de Egresos Comprometido</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right"/>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108,738,137,546.16</w:t>
            </w:r>
          </w:p>
        </w:tc>
      </w:tr>
      <w:tr w:rsidR="00F301E9" w:rsidRPr="00F301E9" w:rsidTr="005D0231">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Presupuesto de Egresos Devengado</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right"/>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0.00</w:t>
            </w:r>
          </w:p>
        </w:tc>
      </w:tr>
      <w:tr w:rsidR="00F301E9" w:rsidRPr="00F301E9" w:rsidTr="005D0231">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Presupuesto de Egresos Ejercido</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right"/>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4,756,232,862.39</w:t>
            </w:r>
          </w:p>
        </w:tc>
      </w:tr>
      <w:tr w:rsidR="00F301E9" w:rsidRPr="00F301E9" w:rsidTr="005D0231">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both"/>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Presupuesto de Egresos Pagado</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01E9" w:rsidRPr="00F301E9" w:rsidRDefault="00F301E9" w:rsidP="00F301E9">
            <w:pPr>
              <w:spacing w:after="0" w:line="360" w:lineRule="auto"/>
              <w:jc w:val="right"/>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103,981,904,683.77</w:t>
            </w:r>
          </w:p>
        </w:tc>
      </w:tr>
    </w:tbl>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360" w:lineRule="auto"/>
        <w:jc w:val="both"/>
        <w:rPr>
          <w:rFonts w:ascii="GalanoGrotesque-Light" w:eastAsia="Calibri" w:hAnsi="GalanoGrotesque-Light" w:cs="Times New Roman"/>
          <w:bCs/>
          <w:lang w:val="es-ES"/>
        </w:rPr>
      </w:pPr>
    </w:p>
    <w:p w:rsidR="00F301E9" w:rsidRPr="00F301E9" w:rsidRDefault="00F301E9" w:rsidP="00F301E9">
      <w:pPr>
        <w:spacing w:after="0" w:line="276" w:lineRule="auto"/>
        <w:jc w:val="center"/>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______________________________</w:t>
      </w:r>
    </w:p>
    <w:p w:rsidR="00F301E9" w:rsidRPr="00F301E9" w:rsidRDefault="00F301E9" w:rsidP="00F301E9">
      <w:pPr>
        <w:spacing w:before="60" w:after="60" w:line="276" w:lineRule="auto"/>
        <w:jc w:val="center"/>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DR. GUSTAVO OBLEA ROSALES</w:t>
      </w:r>
    </w:p>
    <w:p w:rsidR="00F301E9" w:rsidRPr="00F301E9" w:rsidRDefault="00F301E9" w:rsidP="00F301E9">
      <w:pPr>
        <w:spacing w:before="60" w:after="60" w:line="276" w:lineRule="auto"/>
        <w:jc w:val="center"/>
        <w:rPr>
          <w:rFonts w:ascii="GalanoGrotesque-Light" w:eastAsia="Calibri" w:hAnsi="GalanoGrotesque-Light" w:cs="Times New Roman"/>
          <w:bCs/>
          <w:lang w:val="es-ES"/>
        </w:rPr>
      </w:pPr>
      <w:r w:rsidRPr="00F301E9">
        <w:rPr>
          <w:rFonts w:ascii="GalanoGrotesque-Light" w:eastAsia="Calibri" w:hAnsi="GalanoGrotesque-Light" w:cs="Times New Roman"/>
          <w:bCs/>
          <w:lang w:val="es-ES"/>
        </w:rPr>
        <w:t>DIRECTOR DE CONTABILIDAD GUBERNAMENTAL</w:t>
      </w:r>
    </w:p>
    <w:p w:rsidR="00F301E9" w:rsidRPr="00F301E9" w:rsidRDefault="00F301E9" w:rsidP="00F301E9">
      <w:pPr>
        <w:spacing w:after="0" w:line="360" w:lineRule="auto"/>
        <w:rPr>
          <w:rFonts w:ascii="GalanoGrotesque-Light" w:eastAsia="Calibri" w:hAnsi="GalanoGrotesque-Light" w:cs="Times New Roman"/>
          <w:bCs/>
          <w:lang w:val="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F301E9" w:rsidRPr="00F301E9" w:rsidTr="005D0231">
        <w:tc>
          <w:tcPr>
            <w:tcW w:w="9992" w:type="dxa"/>
          </w:tcPr>
          <w:p w:rsidR="00F301E9" w:rsidRPr="00F301E9" w:rsidRDefault="00F301E9" w:rsidP="00F301E9">
            <w:pPr>
              <w:jc w:val="center"/>
              <w:rPr>
                <w:rFonts w:ascii="Calibri" w:eastAsia="Calibri" w:hAnsi="Calibri" w:cs="Times New Roman"/>
                <w:bCs/>
              </w:rPr>
            </w:pPr>
            <w:r w:rsidRPr="00F301E9">
              <w:rPr>
                <w:rFonts w:ascii="Calibri" w:eastAsia="Calibri" w:hAnsi="Calibri" w:cs="Times New Roman"/>
              </w:rPr>
              <w:t>“</w:t>
            </w:r>
            <w:r w:rsidRPr="00F301E9">
              <w:rPr>
                <w:rFonts w:ascii="Calibri" w:eastAsia="Calibri" w:hAnsi="Calibri" w:cs="Times New Roman"/>
                <w:bCs/>
              </w:rPr>
              <w:t>Bajo protesta de decir verdad declaro que los Estados Financieros y sus notas, son razonablemente correctos y son responsabilidad del emisor”</w:t>
            </w:r>
          </w:p>
        </w:tc>
      </w:tr>
    </w:tbl>
    <w:p w:rsidR="00231ECA" w:rsidRDefault="00231ECA"/>
    <w:sectPr w:rsidR="00231ECA">
      <w:headerReference w:type="default" r:id="rId56"/>
      <w:footerReference w:type="default" r:id="rId5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644" w:rsidRDefault="00CC7644" w:rsidP="00F301E9">
      <w:pPr>
        <w:spacing w:after="0" w:line="240" w:lineRule="auto"/>
      </w:pPr>
      <w:r>
        <w:separator/>
      </w:r>
    </w:p>
  </w:endnote>
  <w:endnote w:type="continuationSeparator" w:id="0">
    <w:p w:rsidR="00CC7644" w:rsidRDefault="00CC7644" w:rsidP="00F3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anoGrotesque-Bold">
    <w:altName w:val="Courier New"/>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lanoGrotesque-Light">
    <w:altName w:val="Courier New"/>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
    <w:panose1 w:val="00000000000000000000"/>
    <w:charset w:val="00"/>
    <w:family w:val="roman"/>
    <w:notTrueType/>
    <w:pitch w:val="variable"/>
    <w:sig w:usb0="00000003" w:usb1="00000000" w:usb2="00000000" w:usb3="00000000" w:csb0="00000001" w:csb1="00000000"/>
  </w:font>
  <w:font w:name="GalanoGrotesque-ExtraLight">
    <w:altName w:val="Calibri"/>
    <w:charset w:val="00"/>
    <w:family w:val="auto"/>
    <w:pitch w:val="variable"/>
    <w:sig w:usb0="00000007" w:usb1="00000000" w:usb2="00000000" w:usb3="00000000" w:csb0="00000093" w:csb1="00000000"/>
  </w:font>
  <w:font w:name="Grotesque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1E9" w:rsidRDefault="00F301E9">
    <w:pPr>
      <w:pStyle w:val="Piedepgina"/>
    </w:pPr>
    <w:r>
      <w:rPr>
        <w:noProof/>
        <w:lang w:eastAsia="es-MX"/>
      </w:rPr>
      <w:drawing>
        <wp:anchor distT="0" distB="0" distL="114300" distR="114300" simplePos="0" relativeHeight="251663360" behindDoc="1" locked="0" layoutInCell="1" allowOverlap="1" wp14:anchorId="22871BB5" wp14:editId="343EC30D">
          <wp:simplePos x="0" y="0"/>
          <wp:positionH relativeFrom="page">
            <wp:posOffset>13335</wp:posOffset>
          </wp:positionH>
          <wp:positionV relativeFrom="paragraph">
            <wp:posOffset>200025</wp:posOffset>
          </wp:positionV>
          <wp:extent cx="7808540" cy="408305"/>
          <wp:effectExtent l="0" t="0" r="254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
                    <a:extLst>
                      <a:ext uri="{28A0092B-C50C-407E-A947-70E740481C1C}">
                        <a14:useLocalDpi xmlns:a14="http://schemas.microsoft.com/office/drawing/2010/main" val="0"/>
                      </a:ext>
                    </a:extLst>
                  </a:blip>
                  <a:stretch>
                    <a:fillRect/>
                  </a:stretch>
                </pic:blipFill>
                <pic:spPr>
                  <a:xfrm>
                    <a:off x="0" y="0"/>
                    <a:ext cx="7808540" cy="4083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644" w:rsidRDefault="00CC7644" w:rsidP="00F301E9">
      <w:pPr>
        <w:spacing w:after="0" w:line="240" w:lineRule="auto"/>
      </w:pPr>
      <w:r>
        <w:separator/>
      </w:r>
    </w:p>
  </w:footnote>
  <w:footnote w:type="continuationSeparator" w:id="0">
    <w:p w:rsidR="00CC7644" w:rsidRDefault="00CC7644" w:rsidP="00F301E9">
      <w:pPr>
        <w:spacing w:after="0" w:line="240" w:lineRule="auto"/>
      </w:pPr>
      <w:r>
        <w:continuationSeparator/>
      </w:r>
    </w:p>
  </w:footnote>
  <w:footnote w:id="1">
    <w:p w:rsidR="00F301E9" w:rsidRPr="00621F50" w:rsidRDefault="00F301E9" w:rsidP="00F301E9">
      <w:pPr>
        <w:pStyle w:val="Textonotapie"/>
        <w:rPr>
          <w:lang w:val="es-MX"/>
        </w:rPr>
      </w:pPr>
      <w:r>
        <w:rPr>
          <w:rStyle w:val="Refdenotaalpie"/>
        </w:rPr>
        <w:footnoteRef/>
      </w:r>
      <w:r>
        <w:t xml:space="preserve"> </w:t>
      </w:r>
      <w:r w:rsidRPr="00621F50">
        <w:rPr>
          <w:sz w:val="16"/>
        </w:rPr>
        <w:t>https://www.banxico.org.mx/publicaciones-y-prensa/informes-trimestrales/%7B4E193594-78B1-E4E0-DA60-CB83CCDCE84E%7D.pdf</w:t>
      </w:r>
    </w:p>
  </w:footnote>
  <w:footnote w:id="2">
    <w:p w:rsidR="00F301E9" w:rsidRPr="00621F50" w:rsidRDefault="00F301E9" w:rsidP="00F301E9">
      <w:pPr>
        <w:pStyle w:val="Textonotapie"/>
        <w:rPr>
          <w:lang w:val="es-MX"/>
        </w:rPr>
      </w:pPr>
      <w:r>
        <w:rPr>
          <w:rStyle w:val="Refdenotaalpie"/>
        </w:rPr>
        <w:footnoteRef/>
      </w:r>
      <w:r>
        <w:t xml:space="preserve"> </w:t>
      </w:r>
      <w:r w:rsidRPr="00621F50">
        <w:t>https://www.inegi.org.mx/contenidos/saladeprensa/boletines/2026/itaee/itaee2026_01_Mich.pdf</w:t>
      </w:r>
    </w:p>
  </w:footnote>
  <w:footnote w:id="3">
    <w:p w:rsidR="00F301E9" w:rsidRPr="00621F50" w:rsidRDefault="00F301E9" w:rsidP="00F301E9">
      <w:pPr>
        <w:pStyle w:val="Textonotapie"/>
        <w:rPr>
          <w:lang w:val="es-MX"/>
        </w:rPr>
      </w:pPr>
      <w:r>
        <w:rPr>
          <w:rStyle w:val="Refdenotaalpie"/>
        </w:rPr>
        <w:footnoteRef/>
      </w:r>
      <w:r>
        <w:t xml:space="preserve"> </w:t>
      </w:r>
      <w:r w:rsidRPr="00621F50">
        <w:t>https://www.inegi.org.mx/contenidos/saladeprensa/boletines/2025/enoe/enoe2025_11_Mich.pdf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1E9" w:rsidRDefault="00F301E9">
    <w:pPr>
      <w:pStyle w:val="Encabezado"/>
    </w:pPr>
    <w:r>
      <w:rPr>
        <w:noProof/>
        <w:lang w:eastAsia="es-MX"/>
      </w:rPr>
      <mc:AlternateContent>
        <mc:Choice Requires="wps">
          <w:drawing>
            <wp:anchor distT="45720" distB="45720" distL="114300" distR="114300" simplePos="0" relativeHeight="251661312" behindDoc="0" locked="0" layoutInCell="1" allowOverlap="1" wp14:anchorId="16194680" wp14:editId="62B25B10">
              <wp:simplePos x="0" y="0"/>
              <wp:positionH relativeFrom="margin">
                <wp:align>center</wp:align>
              </wp:positionH>
              <wp:positionV relativeFrom="paragraph">
                <wp:posOffset>-40640</wp:posOffset>
              </wp:positionV>
              <wp:extent cx="3101340" cy="400050"/>
              <wp:effectExtent l="0" t="0" r="0" b="0"/>
              <wp:wrapNone/>
              <wp:docPr id="2004104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400050"/>
                      </a:xfrm>
                      <a:prstGeom prst="rect">
                        <a:avLst/>
                      </a:prstGeom>
                      <a:noFill/>
                      <a:ln w="9525">
                        <a:noFill/>
                        <a:miter lim="800000"/>
                        <a:headEnd/>
                        <a:tailEnd/>
                      </a:ln>
                    </wps:spPr>
                    <wps:txbx>
                      <w:txbxContent>
                        <w:p w:rsidR="00F301E9" w:rsidRPr="005A0923" w:rsidRDefault="00F301E9" w:rsidP="00F301E9">
                          <w:pPr>
                            <w:jc w:val="center"/>
                            <w:rPr>
                              <w:rFonts w:ascii="Calibri" w:hAnsi="Calibri" w:cs="Calibri"/>
                              <w:b/>
                              <w:bCs/>
                              <w:i/>
                              <w:iCs/>
                              <w:color w:val="FFE1E9"/>
                              <w:sz w:val="40"/>
                              <w:szCs w:val="40"/>
                            </w:rPr>
                          </w:pPr>
                          <w:r>
                            <w:rPr>
                              <w:rFonts w:ascii="Calibri" w:hAnsi="Calibri" w:cs="Calibri"/>
                              <w:b/>
                              <w:bCs/>
                              <w:i/>
                              <w:iCs/>
                              <w:color w:val="FFE1E9"/>
                              <w:sz w:val="40"/>
                              <w:szCs w:val="40"/>
                            </w:rPr>
                            <w:t>Cuarto</w:t>
                          </w:r>
                          <w:r w:rsidRPr="005A0923">
                            <w:rPr>
                              <w:rFonts w:ascii="Calibri" w:hAnsi="Calibri" w:cs="Calibri"/>
                              <w:b/>
                              <w:bCs/>
                              <w:i/>
                              <w:iCs/>
                              <w:color w:val="FFE1E9"/>
                              <w:sz w:val="40"/>
                              <w:szCs w:val="40"/>
                            </w:rPr>
                            <w:t xml:space="preserve"> Trimestre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94680" id="_x0000_t202" coordsize="21600,21600" o:spt="202" path="m,l,21600r21600,l21600,xe">
              <v:stroke joinstyle="miter"/>
              <v:path gradientshapeok="t" o:connecttype="rect"/>
            </v:shapetype>
            <v:shape id="Text Box 2" o:spid="_x0000_s1026" type="#_x0000_t202" style="position:absolute;margin-left:0;margin-top:-3.2pt;width:244.2pt;height:31.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" filled="f" stroked="f">
              <v:textbox>
                <w:txbxContent>
                  <w:p w:rsidR="00F301E9" w:rsidRPr="005A0923" w:rsidRDefault="00F301E9" w:rsidP="00F301E9">
                    <w:pPr>
                      <w:jc w:val="center"/>
                      <w:rPr>
                        <w:rFonts w:ascii="Calibri" w:hAnsi="Calibri" w:cs="Calibri"/>
                        <w:b/>
                        <w:bCs/>
                        <w:i/>
                        <w:iCs/>
                        <w:color w:val="FFE1E9"/>
                        <w:sz w:val="40"/>
                        <w:szCs w:val="40"/>
                      </w:rPr>
                    </w:pPr>
                    <w:r>
                      <w:rPr>
                        <w:rFonts w:ascii="Calibri" w:hAnsi="Calibri" w:cs="Calibri"/>
                        <w:b/>
                        <w:bCs/>
                        <w:i/>
                        <w:iCs/>
                        <w:color w:val="FFE1E9"/>
                        <w:sz w:val="40"/>
                        <w:szCs w:val="40"/>
                      </w:rPr>
                      <w:t>Cuarto</w:t>
                    </w:r>
                    <w:r w:rsidRPr="005A0923">
                      <w:rPr>
                        <w:rFonts w:ascii="Calibri" w:hAnsi="Calibri" w:cs="Calibri"/>
                        <w:b/>
                        <w:bCs/>
                        <w:i/>
                        <w:iCs/>
                        <w:color w:val="FFE1E9"/>
                        <w:sz w:val="40"/>
                        <w:szCs w:val="40"/>
                      </w:rPr>
                      <w:t xml:space="preserve"> Trimestre 2025</w:t>
                    </w:r>
                  </w:p>
                </w:txbxContent>
              </v:textbox>
              <w10:wrap anchorx="margin"/>
            </v:shape>
          </w:pict>
        </mc:Fallback>
      </mc:AlternateContent>
    </w:r>
    <w:r>
      <w:rPr>
        <w:noProof/>
        <w:lang w:eastAsia="es-MX"/>
      </w:rPr>
      <w:drawing>
        <wp:anchor distT="0" distB="0" distL="114300" distR="114300" simplePos="0" relativeHeight="251659264" behindDoc="1" locked="0" layoutInCell="1" allowOverlap="1" wp14:anchorId="29DF841D" wp14:editId="7EDC12E4">
          <wp:simplePos x="0" y="0"/>
          <wp:positionH relativeFrom="margin">
            <wp:align>center</wp:align>
          </wp:positionH>
          <wp:positionV relativeFrom="paragraph">
            <wp:posOffset>-343535</wp:posOffset>
          </wp:positionV>
          <wp:extent cx="6731635" cy="559677"/>
          <wp:effectExtent l="0" t="0" r="0" b="0"/>
          <wp:wrapNone/>
          <wp:docPr id="1243561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61394"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1635" cy="55967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C17"/>
    <w:multiLevelType w:val="multilevel"/>
    <w:tmpl w:val="A020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23D6"/>
    <w:multiLevelType w:val="hybridMultilevel"/>
    <w:tmpl w:val="A1C6A578"/>
    <w:lvl w:ilvl="0" w:tplc="95625574">
      <w:start w:val="1"/>
      <w:numFmt w:val="lowerLetter"/>
      <w:lvlText w:val="%1)"/>
      <w:lvlJc w:val="left"/>
      <w:pPr>
        <w:ind w:left="785" w:hanging="360"/>
      </w:pPr>
      <w:rPr>
        <w:rFonts w:hint="default"/>
      </w:rPr>
    </w:lvl>
    <w:lvl w:ilvl="1" w:tplc="080A0019">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 w15:restartNumberingAfterBreak="0">
    <w:nsid w:val="074643C2"/>
    <w:multiLevelType w:val="multilevel"/>
    <w:tmpl w:val="0C0A0025"/>
    <w:numStyleLink w:val="CtaPub"/>
  </w:abstractNum>
  <w:abstractNum w:abstractNumId="3" w15:restartNumberingAfterBreak="0">
    <w:nsid w:val="21184B39"/>
    <w:multiLevelType w:val="hybridMultilevel"/>
    <w:tmpl w:val="FD1228EC"/>
    <w:lvl w:ilvl="0" w:tplc="080A000B">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24632CE1"/>
    <w:multiLevelType w:val="hybridMultilevel"/>
    <w:tmpl w:val="DDAA503C"/>
    <w:lvl w:ilvl="0" w:tplc="080A000B">
      <w:start w:val="1"/>
      <w:numFmt w:val="bullet"/>
      <w:lvlText w:val=""/>
      <w:lvlJc w:val="left"/>
      <w:pPr>
        <w:ind w:left="1147" w:hanging="360"/>
      </w:pPr>
      <w:rPr>
        <w:rFonts w:ascii="Wingdings" w:hAnsi="Wingdings" w:hint="default"/>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5" w15:restartNumberingAfterBreak="0">
    <w:nsid w:val="3DAF35CB"/>
    <w:multiLevelType w:val="hybridMultilevel"/>
    <w:tmpl w:val="B9FA63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4342E9"/>
    <w:multiLevelType w:val="hybridMultilevel"/>
    <w:tmpl w:val="C268C124"/>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4D404667"/>
    <w:multiLevelType w:val="hybridMultilevel"/>
    <w:tmpl w:val="5A8C3A68"/>
    <w:lvl w:ilvl="0" w:tplc="080A0009">
      <w:start w:val="1"/>
      <w:numFmt w:val="bullet"/>
      <w:lvlText w:val=""/>
      <w:lvlJc w:val="left"/>
      <w:pPr>
        <w:ind w:left="786" w:hanging="360"/>
      </w:pPr>
      <w:rPr>
        <w:rFonts w:ascii="Wingdings" w:hAnsi="Wingdings" w:hint="default"/>
      </w:rPr>
    </w:lvl>
    <w:lvl w:ilvl="1" w:tplc="080A0003">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15:restartNumberingAfterBreak="0">
    <w:nsid w:val="4F5E1768"/>
    <w:multiLevelType w:val="multilevel"/>
    <w:tmpl w:val="4CA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1118F"/>
    <w:multiLevelType w:val="hybridMultilevel"/>
    <w:tmpl w:val="C81EE39C"/>
    <w:lvl w:ilvl="0" w:tplc="871E01E2">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E0406D3"/>
    <w:multiLevelType w:val="hybridMultilevel"/>
    <w:tmpl w:val="0AB2891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6230EE"/>
    <w:multiLevelType w:val="multilevel"/>
    <w:tmpl w:val="080A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313F7"/>
    <w:multiLevelType w:val="hybridMultilevel"/>
    <w:tmpl w:val="2F38E47E"/>
    <w:lvl w:ilvl="0" w:tplc="29EE1CF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F128C1"/>
    <w:multiLevelType w:val="hybridMultilevel"/>
    <w:tmpl w:val="605E774A"/>
    <w:lvl w:ilvl="0" w:tplc="89A879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242C09"/>
    <w:multiLevelType w:val="multilevel"/>
    <w:tmpl w:val="0C0A0025"/>
    <w:styleLink w:val="CtaPub"/>
    <w:lvl w:ilvl="0">
      <w:start w:val="1"/>
      <w:numFmt w:val="upperRoman"/>
      <w:lvlText w:val="%1"/>
      <w:lvlJc w:val="left"/>
      <w:pPr>
        <w:ind w:left="432" w:hanging="432"/>
      </w:pPr>
      <w:rPr>
        <w:rFonts w:ascii="GalanoGrotesque-Bold" w:hAnsi="GalanoGrotesque-Bold"/>
        <w:b/>
        <w:color w:val="auto"/>
        <w:sz w:val="40"/>
      </w:rPr>
    </w:lvl>
    <w:lvl w:ilvl="1">
      <w:start w:val="1"/>
      <w:numFmt w:val="decimal"/>
      <w:lvlText w:val="%1.%2"/>
      <w:lvlJc w:val="left"/>
      <w:pPr>
        <w:ind w:left="576" w:hanging="576"/>
      </w:pPr>
      <w:rPr>
        <w:rFonts w:ascii="GalanoGrotesque-Bold" w:hAnsi="GalanoGrotesque-Bold"/>
        <w:b/>
        <w:color w:val="auto"/>
        <w:sz w:val="32"/>
      </w:rPr>
    </w:lvl>
    <w:lvl w:ilvl="2">
      <w:start w:val="1"/>
      <w:numFmt w:val="lowerLetter"/>
      <w:lvlText w:val="%1.%2.%3"/>
      <w:lvlJc w:val="left"/>
      <w:pPr>
        <w:ind w:left="720" w:hanging="720"/>
      </w:pPr>
      <w:rPr>
        <w:rFonts w:ascii="GalanoGrotesque-Bold" w:hAnsi="GalanoGrotesque-Bold"/>
        <w:b/>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D0C0E1E"/>
    <w:multiLevelType w:val="hybridMultilevel"/>
    <w:tmpl w:val="7220BAB8"/>
    <w:lvl w:ilvl="0" w:tplc="12FA4B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11"/>
  </w:num>
  <w:num w:numId="5">
    <w:abstractNumId w:val="10"/>
  </w:num>
  <w:num w:numId="6">
    <w:abstractNumId w:val="9"/>
  </w:num>
  <w:num w:numId="7">
    <w:abstractNumId w:val="3"/>
  </w:num>
  <w:num w:numId="8">
    <w:abstractNumId w:val="7"/>
  </w:num>
  <w:num w:numId="9">
    <w:abstractNumId w:val="2"/>
    <w:lvlOverride w:ilvl="0">
      <w:lvl w:ilvl="0">
        <w:start w:val="1"/>
        <w:numFmt w:val="decimal"/>
        <w:lvlText w:val=""/>
        <w:lvlJc w:val="left"/>
        <w:pPr>
          <w:ind w:left="0" w:firstLine="0"/>
        </w:pPr>
        <w:rPr>
          <w:rFonts w:ascii="GalanoGrotesque-Bold" w:hAnsi="GalanoGrotesque-Bold"/>
          <w:b/>
          <w:color w:val="auto"/>
          <w:sz w:val="40"/>
        </w:rPr>
      </w:lvl>
    </w:lvlOverride>
    <w:lvlOverride w:ilvl="1">
      <w:lvl w:ilvl="1">
        <w:start w:val="1"/>
        <w:numFmt w:val="decimal"/>
        <w:lvlText w:val=""/>
        <w:lvlJc w:val="left"/>
        <w:pPr>
          <w:ind w:left="0" w:firstLine="0"/>
        </w:pPr>
        <w:rPr>
          <w:rFonts w:ascii="GalanoGrotesque-Bold" w:hAnsi="GalanoGrotesque-Bold"/>
          <w:b/>
          <w:color w:val="auto"/>
          <w:sz w:val="32"/>
        </w:rPr>
      </w:lvl>
    </w:lvlOverride>
    <w:lvlOverride w:ilvl="2">
      <w:lvl w:ilvl="2">
        <w:start w:val="1"/>
        <w:numFmt w:val="decimal"/>
        <w:lvlText w:val="%1.%2.%3"/>
        <w:lvlJc w:val="left"/>
        <w:pPr>
          <w:ind w:left="862" w:hanging="720"/>
        </w:pPr>
        <w:rPr>
          <w:rFonts w:ascii="GalanoGrotesque-Bold" w:hAnsi="GalanoGrotesque-Bold"/>
          <w:b/>
          <w:sz w:val="36"/>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0"/>
  </w:num>
  <w:num w:numId="14">
    <w:abstractNumId w:val="8"/>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E9"/>
    <w:rsid w:val="00231ECA"/>
    <w:rsid w:val="00CC7644"/>
    <w:rsid w:val="00F30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9B508A-159B-4BA9-A9CB-AFD771CA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301E9"/>
    <w:pPr>
      <w:keepNext/>
      <w:keepLines/>
      <w:spacing w:before="240" w:after="0"/>
      <w:outlineLvl w:val="0"/>
    </w:pPr>
    <w:rPr>
      <w:rFonts w:ascii="GalanoGrotesque-Bold" w:eastAsia="Times New Roman" w:hAnsi="GalanoGrotesque-Bold" w:cs="Times New Roman"/>
      <w:color w:val="000000"/>
      <w:sz w:val="40"/>
      <w:szCs w:val="32"/>
    </w:rPr>
  </w:style>
  <w:style w:type="paragraph" w:styleId="Ttulo2">
    <w:name w:val="heading 2"/>
    <w:basedOn w:val="Normal"/>
    <w:next w:val="Normal"/>
    <w:link w:val="Ttulo2Car"/>
    <w:uiPriority w:val="9"/>
    <w:semiHidden/>
    <w:unhideWhenUsed/>
    <w:qFormat/>
    <w:rsid w:val="00F301E9"/>
    <w:pPr>
      <w:keepNext/>
      <w:keepLines/>
      <w:spacing w:before="40" w:after="0"/>
      <w:outlineLvl w:val="1"/>
    </w:pPr>
    <w:rPr>
      <w:rFonts w:ascii="GalanoGrotesque-Bold" w:eastAsia="Times New Roman" w:hAnsi="GalanoGrotesque-Bold" w:cs="Times New Roman"/>
      <w:color w:val="000000"/>
      <w:sz w:val="32"/>
      <w:szCs w:val="26"/>
    </w:rPr>
  </w:style>
  <w:style w:type="paragraph" w:styleId="Ttulo3">
    <w:name w:val="heading 3"/>
    <w:basedOn w:val="Normal"/>
    <w:next w:val="Normal"/>
    <w:link w:val="Ttulo3Car"/>
    <w:uiPriority w:val="9"/>
    <w:semiHidden/>
    <w:unhideWhenUsed/>
    <w:qFormat/>
    <w:rsid w:val="00F301E9"/>
    <w:pPr>
      <w:keepNext/>
      <w:keepLines/>
      <w:spacing w:before="40" w:after="0"/>
      <w:outlineLvl w:val="2"/>
    </w:pPr>
    <w:rPr>
      <w:rFonts w:ascii="GalanoGrotesque-Bold" w:eastAsia="Times New Roman" w:hAnsi="GalanoGrotesque-Bold" w:cs="Times New Roman"/>
      <w:sz w:val="28"/>
    </w:rPr>
  </w:style>
  <w:style w:type="paragraph" w:styleId="Ttulo4">
    <w:name w:val="heading 4"/>
    <w:basedOn w:val="Normal"/>
    <w:next w:val="Normal"/>
    <w:link w:val="Ttulo4Car"/>
    <w:uiPriority w:val="9"/>
    <w:semiHidden/>
    <w:unhideWhenUsed/>
    <w:qFormat/>
    <w:rsid w:val="00F301E9"/>
    <w:pPr>
      <w:keepNext/>
      <w:keepLines/>
      <w:spacing w:before="40" w:after="0"/>
      <w:outlineLvl w:val="3"/>
    </w:pPr>
    <w:rPr>
      <w:rFonts w:ascii="Calibri Light" w:eastAsia="Times New Roman" w:hAnsi="Calibri Light" w:cs="Times New Roman"/>
      <w:i/>
      <w:iCs/>
      <w:color w:val="C49A00"/>
    </w:rPr>
  </w:style>
  <w:style w:type="paragraph" w:styleId="Ttulo5">
    <w:name w:val="heading 5"/>
    <w:basedOn w:val="Normal"/>
    <w:next w:val="Normal"/>
    <w:link w:val="Ttulo5Car"/>
    <w:uiPriority w:val="9"/>
    <w:semiHidden/>
    <w:unhideWhenUsed/>
    <w:qFormat/>
    <w:rsid w:val="00F301E9"/>
    <w:pPr>
      <w:keepNext/>
      <w:keepLines/>
      <w:spacing w:before="40" w:after="0"/>
      <w:outlineLvl w:val="4"/>
    </w:pPr>
    <w:rPr>
      <w:rFonts w:ascii="Calibri Light" w:eastAsia="Times New Roman" w:hAnsi="Calibri Light" w:cs="Times New Roman"/>
      <w:color w:val="C49A00"/>
    </w:rPr>
  </w:style>
  <w:style w:type="paragraph" w:styleId="Ttulo6">
    <w:name w:val="heading 6"/>
    <w:basedOn w:val="Normal"/>
    <w:next w:val="Normal"/>
    <w:link w:val="Ttulo6Car"/>
    <w:uiPriority w:val="9"/>
    <w:semiHidden/>
    <w:unhideWhenUsed/>
    <w:qFormat/>
    <w:rsid w:val="00F301E9"/>
    <w:pPr>
      <w:keepNext/>
      <w:keepLines/>
      <w:spacing w:before="40" w:after="0"/>
      <w:outlineLvl w:val="5"/>
    </w:pPr>
    <w:rPr>
      <w:rFonts w:ascii="Calibri Light" w:eastAsia="Times New Roman" w:hAnsi="Calibri Light" w:cs="Times New Roman"/>
      <w:color w:val="826600"/>
    </w:rPr>
  </w:style>
  <w:style w:type="paragraph" w:styleId="Ttulo7">
    <w:name w:val="heading 7"/>
    <w:basedOn w:val="Normal"/>
    <w:next w:val="Normal"/>
    <w:link w:val="Ttulo7Car"/>
    <w:uiPriority w:val="9"/>
    <w:semiHidden/>
    <w:unhideWhenUsed/>
    <w:qFormat/>
    <w:rsid w:val="00F301E9"/>
    <w:pPr>
      <w:keepNext/>
      <w:keepLines/>
      <w:spacing w:before="40" w:after="0"/>
      <w:outlineLvl w:val="6"/>
    </w:pPr>
    <w:rPr>
      <w:rFonts w:ascii="Calibri Light" w:eastAsia="Times New Roman" w:hAnsi="Calibri Light" w:cs="Times New Roman"/>
      <w:i/>
      <w:iCs/>
      <w:color w:val="826600"/>
    </w:rPr>
  </w:style>
  <w:style w:type="paragraph" w:styleId="Ttulo8">
    <w:name w:val="heading 8"/>
    <w:basedOn w:val="Normal"/>
    <w:next w:val="Normal"/>
    <w:link w:val="Ttulo8Car"/>
    <w:uiPriority w:val="9"/>
    <w:semiHidden/>
    <w:unhideWhenUsed/>
    <w:qFormat/>
    <w:rsid w:val="00F301E9"/>
    <w:pPr>
      <w:keepNext/>
      <w:keepLines/>
      <w:spacing w:before="40" w:after="0"/>
      <w:outlineLvl w:val="7"/>
    </w:pPr>
    <w:rPr>
      <w:rFonts w:ascii="Calibri Light" w:eastAsia="Times New Roman" w:hAnsi="Calibri Light" w:cs="Times New Roman"/>
      <w:color w:val="272727"/>
      <w:sz w:val="21"/>
      <w:szCs w:val="21"/>
    </w:rPr>
  </w:style>
  <w:style w:type="paragraph" w:styleId="Ttulo9">
    <w:name w:val="heading 9"/>
    <w:basedOn w:val="Normal"/>
    <w:next w:val="Normal"/>
    <w:link w:val="Ttulo9Car"/>
    <w:uiPriority w:val="9"/>
    <w:semiHidden/>
    <w:unhideWhenUsed/>
    <w:qFormat/>
    <w:rsid w:val="00F301E9"/>
    <w:pPr>
      <w:keepNext/>
      <w:keepLines/>
      <w:spacing w:before="40" w:after="0"/>
      <w:outlineLvl w:val="8"/>
    </w:pPr>
    <w:rPr>
      <w:rFonts w:ascii="Calibri Light" w:eastAsia="Times New Roman" w:hAnsi="Calibri Light"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F301E9"/>
    <w:pPr>
      <w:keepNext/>
      <w:keepLines/>
      <w:spacing w:before="240" w:after="0" w:line="360" w:lineRule="auto"/>
      <w:jc w:val="both"/>
      <w:outlineLvl w:val="0"/>
    </w:pPr>
    <w:rPr>
      <w:rFonts w:ascii="GalanoGrotesque-Bold" w:eastAsia="Times New Roman" w:hAnsi="GalanoGrotesque-Bold" w:cs="Times New Roman"/>
      <w:color w:val="000000"/>
      <w:sz w:val="40"/>
      <w:szCs w:val="32"/>
      <w:lang w:val="es-ES"/>
    </w:rPr>
  </w:style>
  <w:style w:type="paragraph" w:customStyle="1" w:styleId="Ttulo21">
    <w:name w:val="Título 21"/>
    <w:basedOn w:val="Normal"/>
    <w:next w:val="Normal"/>
    <w:uiPriority w:val="9"/>
    <w:unhideWhenUsed/>
    <w:qFormat/>
    <w:rsid w:val="00F301E9"/>
    <w:pPr>
      <w:keepNext/>
      <w:keepLines/>
      <w:spacing w:before="40" w:after="0" w:line="360" w:lineRule="auto"/>
      <w:jc w:val="both"/>
      <w:outlineLvl w:val="1"/>
    </w:pPr>
    <w:rPr>
      <w:rFonts w:ascii="GalanoGrotesque-Bold" w:eastAsia="Times New Roman" w:hAnsi="GalanoGrotesque-Bold" w:cs="Times New Roman"/>
      <w:color w:val="000000"/>
      <w:sz w:val="32"/>
      <w:szCs w:val="26"/>
      <w:lang w:val="es-ES"/>
    </w:rPr>
  </w:style>
  <w:style w:type="paragraph" w:customStyle="1" w:styleId="Ttulo31">
    <w:name w:val="Título 31"/>
    <w:basedOn w:val="Normal"/>
    <w:next w:val="Normal"/>
    <w:uiPriority w:val="9"/>
    <w:unhideWhenUsed/>
    <w:qFormat/>
    <w:rsid w:val="00F301E9"/>
    <w:pPr>
      <w:keepNext/>
      <w:keepLines/>
      <w:spacing w:before="40" w:after="0" w:line="360" w:lineRule="auto"/>
      <w:jc w:val="both"/>
      <w:outlineLvl w:val="2"/>
    </w:pPr>
    <w:rPr>
      <w:rFonts w:ascii="GalanoGrotesque-Bold" w:eastAsia="Times New Roman" w:hAnsi="GalanoGrotesque-Bold" w:cs="Times New Roman"/>
      <w:sz w:val="28"/>
      <w:szCs w:val="24"/>
      <w:lang w:val="es-ES"/>
    </w:rPr>
  </w:style>
  <w:style w:type="paragraph" w:customStyle="1" w:styleId="Ttulo41">
    <w:name w:val="Título 41"/>
    <w:basedOn w:val="Normal"/>
    <w:next w:val="Normal"/>
    <w:uiPriority w:val="9"/>
    <w:unhideWhenUsed/>
    <w:qFormat/>
    <w:rsid w:val="00F301E9"/>
    <w:pPr>
      <w:keepNext/>
      <w:keepLines/>
      <w:spacing w:before="40" w:after="0" w:line="360" w:lineRule="auto"/>
      <w:jc w:val="both"/>
      <w:outlineLvl w:val="3"/>
    </w:pPr>
    <w:rPr>
      <w:rFonts w:ascii="Calibri Light" w:eastAsia="Times New Roman" w:hAnsi="Calibri Light" w:cs="Times New Roman"/>
      <w:i/>
      <w:iCs/>
      <w:color w:val="C49A00"/>
      <w:sz w:val="24"/>
      <w:szCs w:val="24"/>
      <w:lang w:val="es-ES"/>
    </w:rPr>
  </w:style>
  <w:style w:type="paragraph" w:customStyle="1" w:styleId="Ttulo51">
    <w:name w:val="Título 51"/>
    <w:basedOn w:val="Normal"/>
    <w:next w:val="Normal"/>
    <w:uiPriority w:val="9"/>
    <w:semiHidden/>
    <w:unhideWhenUsed/>
    <w:qFormat/>
    <w:rsid w:val="00F301E9"/>
    <w:pPr>
      <w:keepNext/>
      <w:keepLines/>
      <w:spacing w:before="40" w:after="0" w:line="360" w:lineRule="auto"/>
      <w:jc w:val="both"/>
      <w:outlineLvl w:val="4"/>
    </w:pPr>
    <w:rPr>
      <w:rFonts w:ascii="Calibri Light" w:eastAsia="Times New Roman" w:hAnsi="Calibri Light" w:cs="Times New Roman"/>
      <w:color w:val="C49A00"/>
      <w:sz w:val="24"/>
      <w:szCs w:val="24"/>
      <w:lang w:val="es-ES"/>
    </w:rPr>
  </w:style>
  <w:style w:type="paragraph" w:customStyle="1" w:styleId="Ttulo61">
    <w:name w:val="Título 61"/>
    <w:basedOn w:val="Normal"/>
    <w:next w:val="Normal"/>
    <w:uiPriority w:val="9"/>
    <w:semiHidden/>
    <w:unhideWhenUsed/>
    <w:qFormat/>
    <w:rsid w:val="00F301E9"/>
    <w:pPr>
      <w:keepNext/>
      <w:keepLines/>
      <w:spacing w:before="40" w:after="0" w:line="360" w:lineRule="auto"/>
      <w:jc w:val="both"/>
      <w:outlineLvl w:val="5"/>
    </w:pPr>
    <w:rPr>
      <w:rFonts w:ascii="Calibri Light" w:eastAsia="Times New Roman" w:hAnsi="Calibri Light" w:cs="Times New Roman"/>
      <w:color w:val="826600"/>
      <w:sz w:val="24"/>
      <w:szCs w:val="24"/>
      <w:lang w:val="es-ES"/>
    </w:rPr>
  </w:style>
  <w:style w:type="paragraph" w:customStyle="1" w:styleId="Ttulo71">
    <w:name w:val="Título 71"/>
    <w:basedOn w:val="Normal"/>
    <w:next w:val="Normal"/>
    <w:uiPriority w:val="9"/>
    <w:semiHidden/>
    <w:unhideWhenUsed/>
    <w:qFormat/>
    <w:rsid w:val="00F301E9"/>
    <w:pPr>
      <w:keepNext/>
      <w:keepLines/>
      <w:spacing w:before="40" w:after="0" w:line="360" w:lineRule="auto"/>
      <w:jc w:val="both"/>
      <w:outlineLvl w:val="6"/>
    </w:pPr>
    <w:rPr>
      <w:rFonts w:ascii="Calibri Light" w:eastAsia="Times New Roman" w:hAnsi="Calibri Light" w:cs="Times New Roman"/>
      <w:i/>
      <w:iCs/>
      <w:color w:val="826600"/>
      <w:sz w:val="24"/>
      <w:szCs w:val="24"/>
      <w:lang w:val="es-ES"/>
    </w:rPr>
  </w:style>
  <w:style w:type="paragraph" w:customStyle="1" w:styleId="Ttulo81">
    <w:name w:val="Título 81"/>
    <w:basedOn w:val="Normal"/>
    <w:next w:val="Normal"/>
    <w:uiPriority w:val="9"/>
    <w:semiHidden/>
    <w:unhideWhenUsed/>
    <w:qFormat/>
    <w:rsid w:val="00F301E9"/>
    <w:pPr>
      <w:keepNext/>
      <w:keepLines/>
      <w:spacing w:before="40" w:after="0" w:line="360" w:lineRule="auto"/>
      <w:jc w:val="both"/>
      <w:outlineLvl w:val="7"/>
    </w:pPr>
    <w:rPr>
      <w:rFonts w:ascii="Calibri Light" w:eastAsia="Times New Roman" w:hAnsi="Calibri Light" w:cs="Times New Roman"/>
      <w:color w:val="272727"/>
      <w:sz w:val="21"/>
      <w:szCs w:val="21"/>
      <w:lang w:val="es-ES"/>
    </w:rPr>
  </w:style>
  <w:style w:type="paragraph" w:customStyle="1" w:styleId="Ttulo91">
    <w:name w:val="Título 91"/>
    <w:basedOn w:val="Normal"/>
    <w:next w:val="Normal"/>
    <w:uiPriority w:val="9"/>
    <w:semiHidden/>
    <w:unhideWhenUsed/>
    <w:qFormat/>
    <w:rsid w:val="00F301E9"/>
    <w:pPr>
      <w:keepNext/>
      <w:keepLines/>
      <w:spacing w:before="40" w:after="0" w:line="360" w:lineRule="auto"/>
      <w:jc w:val="both"/>
      <w:outlineLvl w:val="8"/>
    </w:pPr>
    <w:rPr>
      <w:rFonts w:ascii="Calibri Light" w:eastAsia="Times New Roman" w:hAnsi="Calibri Light" w:cs="Times New Roman"/>
      <w:i/>
      <w:iCs/>
      <w:color w:val="272727"/>
      <w:sz w:val="21"/>
      <w:szCs w:val="21"/>
      <w:lang w:val="es-ES"/>
    </w:rPr>
  </w:style>
  <w:style w:type="numbering" w:customStyle="1" w:styleId="Sinlista1">
    <w:name w:val="Sin lista1"/>
    <w:next w:val="Sinlista"/>
    <w:uiPriority w:val="99"/>
    <w:semiHidden/>
    <w:unhideWhenUsed/>
    <w:rsid w:val="00F301E9"/>
  </w:style>
  <w:style w:type="character" w:customStyle="1" w:styleId="Ttulo1Car">
    <w:name w:val="Título 1 Car"/>
    <w:basedOn w:val="Fuentedeprrafopredeter"/>
    <w:link w:val="Ttulo1"/>
    <w:uiPriority w:val="9"/>
    <w:rsid w:val="00F301E9"/>
    <w:rPr>
      <w:rFonts w:ascii="GalanoGrotesque-Bold" w:eastAsia="Times New Roman" w:hAnsi="GalanoGrotesque-Bold" w:cs="Times New Roman"/>
      <w:color w:val="000000"/>
      <w:sz w:val="40"/>
      <w:szCs w:val="32"/>
    </w:rPr>
  </w:style>
  <w:style w:type="character" w:customStyle="1" w:styleId="Ttulo2Car">
    <w:name w:val="Título 2 Car"/>
    <w:basedOn w:val="Fuentedeprrafopredeter"/>
    <w:link w:val="Ttulo2"/>
    <w:uiPriority w:val="9"/>
    <w:rsid w:val="00F301E9"/>
    <w:rPr>
      <w:rFonts w:ascii="GalanoGrotesque-Bold" w:eastAsia="Times New Roman" w:hAnsi="GalanoGrotesque-Bold" w:cs="Times New Roman"/>
      <w:color w:val="000000"/>
      <w:sz w:val="32"/>
      <w:szCs w:val="26"/>
    </w:rPr>
  </w:style>
  <w:style w:type="character" w:customStyle="1" w:styleId="Ttulo3Car">
    <w:name w:val="Título 3 Car"/>
    <w:basedOn w:val="Fuentedeprrafopredeter"/>
    <w:link w:val="Ttulo3"/>
    <w:uiPriority w:val="9"/>
    <w:rsid w:val="00F301E9"/>
    <w:rPr>
      <w:rFonts w:ascii="GalanoGrotesque-Bold" w:eastAsia="Times New Roman" w:hAnsi="GalanoGrotesque-Bold" w:cs="Times New Roman"/>
      <w:sz w:val="28"/>
    </w:rPr>
  </w:style>
  <w:style w:type="character" w:customStyle="1" w:styleId="Ttulo4Car">
    <w:name w:val="Título 4 Car"/>
    <w:basedOn w:val="Fuentedeprrafopredeter"/>
    <w:link w:val="Ttulo4"/>
    <w:uiPriority w:val="9"/>
    <w:rsid w:val="00F301E9"/>
    <w:rPr>
      <w:rFonts w:ascii="Calibri Light" w:eastAsia="Times New Roman" w:hAnsi="Calibri Light" w:cs="Times New Roman"/>
      <w:i/>
      <w:iCs/>
      <w:color w:val="C49A00"/>
    </w:rPr>
  </w:style>
  <w:style w:type="character" w:customStyle="1" w:styleId="Ttulo5Car">
    <w:name w:val="Título 5 Car"/>
    <w:basedOn w:val="Fuentedeprrafopredeter"/>
    <w:link w:val="Ttulo5"/>
    <w:uiPriority w:val="9"/>
    <w:semiHidden/>
    <w:rsid w:val="00F301E9"/>
    <w:rPr>
      <w:rFonts w:ascii="Calibri Light" w:eastAsia="Times New Roman" w:hAnsi="Calibri Light" w:cs="Times New Roman"/>
      <w:color w:val="C49A00"/>
    </w:rPr>
  </w:style>
  <w:style w:type="character" w:customStyle="1" w:styleId="Ttulo6Car">
    <w:name w:val="Título 6 Car"/>
    <w:basedOn w:val="Fuentedeprrafopredeter"/>
    <w:link w:val="Ttulo6"/>
    <w:uiPriority w:val="9"/>
    <w:semiHidden/>
    <w:rsid w:val="00F301E9"/>
    <w:rPr>
      <w:rFonts w:ascii="Calibri Light" w:eastAsia="Times New Roman" w:hAnsi="Calibri Light" w:cs="Times New Roman"/>
      <w:color w:val="826600"/>
    </w:rPr>
  </w:style>
  <w:style w:type="character" w:customStyle="1" w:styleId="Ttulo7Car">
    <w:name w:val="Título 7 Car"/>
    <w:basedOn w:val="Fuentedeprrafopredeter"/>
    <w:link w:val="Ttulo7"/>
    <w:uiPriority w:val="9"/>
    <w:semiHidden/>
    <w:rsid w:val="00F301E9"/>
    <w:rPr>
      <w:rFonts w:ascii="Calibri Light" w:eastAsia="Times New Roman" w:hAnsi="Calibri Light" w:cs="Times New Roman"/>
      <w:i/>
      <w:iCs/>
      <w:color w:val="826600"/>
    </w:rPr>
  </w:style>
  <w:style w:type="character" w:customStyle="1" w:styleId="Ttulo8Car">
    <w:name w:val="Título 8 Car"/>
    <w:basedOn w:val="Fuentedeprrafopredeter"/>
    <w:link w:val="Ttulo8"/>
    <w:uiPriority w:val="9"/>
    <w:semiHidden/>
    <w:rsid w:val="00F301E9"/>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uiPriority w:val="9"/>
    <w:semiHidden/>
    <w:rsid w:val="00F301E9"/>
    <w:rPr>
      <w:rFonts w:ascii="Calibri Light" w:eastAsia="Times New Roman" w:hAnsi="Calibri Light" w:cs="Times New Roman"/>
      <w:i/>
      <w:iCs/>
      <w:color w:val="272727"/>
      <w:sz w:val="21"/>
      <w:szCs w:val="21"/>
    </w:rPr>
  </w:style>
  <w:style w:type="paragraph" w:customStyle="1" w:styleId="Encabezado1">
    <w:name w:val="Encabezado1"/>
    <w:basedOn w:val="Normal"/>
    <w:next w:val="Encabezado"/>
    <w:link w:val="EncabezadoCar"/>
    <w:uiPriority w:val="99"/>
    <w:unhideWhenUsed/>
    <w:rsid w:val="00F301E9"/>
    <w:pPr>
      <w:tabs>
        <w:tab w:val="center" w:pos="4252"/>
        <w:tab w:val="right" w:pos="8504"/>
      </w:tabs>
      <w:spacing w:after="0" w:line="240" w:lineRule="auto"/>
      <w:jc w:val="both"/>
    </w:pPr>
  </w:style>
  <w:style w:type="character" w:customStyle="1" w:styleId="EncabezadoCar">
    <w:name w:val="Encabezado Car"/>
    <w:basedOn w:val="Fuentedeprrafopredeter"/>
    <w:link w:val="Encabezado1"/>
    <w:uiPriority w:val="99"/>
    <w:rsid w:val="00F301E9"/>
  </w:style>
  <w:style w:type="paragraph" w:customStyle="1" w:styleId="Piedepgina1">
    <w:name w:val="Pie de página1"/>
    <w:basedOn w:val="Normal"/>
    <w:next w:val="Piedepgina"/>
    <w:link w:val="PiedepginaCar"/>
    <w:uiPriority w:val="99"/>
    <w:unhideWhenUsed/>
    <w:rsid w:val="00F301E9"/>
    <w:pPr>
      <w:tabs>
        <w:tab w:val="center" w:pos="4252"/>
        <w:tab w:val="right" w:pos="8504"/>
      </w:tabs>
      <w:spacing w:after="0" w:line="240" w:lineRule="auto"/>
      <w:jc w:val="both"/>
    </w:pPr>
  </w:style>
  <w:style w:type="character" w:customStyle="1" w:styleId="PiedepginaCar">
    <w:name w:val="Pie de página Car"/>
    <w:basedOn w:val="Fuentedeprrafopredeter"/>
    <w:link w:val="Piedepgina1"/>
    <w:uiPriority w:val="99"/>
    <w:rsid w:val="00F301E9"/>
  </w:style>
  <w:style w:type="paragraph" w:customStyle="1" w:styleId="Sinespaciado1">
    <w:name w:val="Sin espaciado1"/>
    <w:next w:val="Sinespaciado"/>
    <w:link w:val="SinespaciadoCar"/>
    <w:uiPriority w:val="1"/>
    <w:qFormat/>
    <w:rsid w:val="00F301E9"/>
    <w:pPr>
      <w:spacing w:after="0" w:line="240" w:lineRule="auto"/>
    </w:pPr>
    <w:rPr>
      <w:rFonts w:eastAsia="Times New Roman"/>
      <w:lang w:val="es-ES" w:eastAsia="es-ES"/>
    </w:rPr>
  </w:style>
  <w:style w:type="character" w:customStyle="1" w:styleId="SinespaciadoCar">
    <w:name w:val="Sin espaciado Car"/>
    <w:basedOn w:val="Fuentedeprrafopredeter"/>
    <w:uiPriority w:val="1"/>
    <w:rsid w:val="00F301E9"/>
    <w:rPr>
      <w:rFonts w:ascii="Calibri" w:eastAsia="Times New Roman" w:hAnsi="Calibri"/>
      <w:sz w:val="22"/>
      <w:szCs w:val="22"/>
      <w:lang w:eastAsia="es-ES"/>
    </w:rPr>
  </w:style>
  <w:style w:type="numbering" w:customStyle="1" w:styleId="CtaPub">
    <w:name w:val="CtaPub"/>
    <w:uiPriority w:val="99"/>
    <w:rsid w:val="00F301E9"/>
    <w:pPr>
      <w:numPr>
        <w:numId w:val="1"/>
      </w:numPr>
    </w:pPr>
  </w:style>
  <w:style w:type="paragraph" w:customStyle="1" w:styleId="TDC11">
    <w:name w:val="TDC 11"/>
    <w:basedOn w:val="Normal"/>
    <w:next w:val="Normal"/>
    <w:autoRedefine/>
    <w:uiPriority w:val="39"/>
    <w:unhideWhenUsed/>
    <w:rsid w:val="00F301E9"/>
    <w:pPr>
      <w:tabs>
        <w:tab w:val="left" w:pos="1560"/>
        <w:tab w:val="right" w:leader="dot" w:pos="9639"/>
      </w:tabs>
      <w:spacing w:before="120" w:after="120" w:line="240" w:lineRule="auto"/>
      <w:ind w:left="993"/>
    </w:pPr>
    <w:rPr>
      <w:noProof/>
      <w:sz w:val="20"/>
      <w:szCs w:val="20"/>
      <w:lang w:val="es-ES"/>
    </w:rPr>
  </w:style>
  <w:style w:type="paragraph" w:customStyle="1" w:styleId="TDC21">
    <w:name w:val="TDC 21"/>
    <w:basedOn w:val="Normal"/>
    <w:next w:val="Normal"/>
    <w:autoRedefine/>
    <w:uiPriority w:val="39"/>
    <w:unhideWhenUsed/>
    <w:rsid w:val="00F301E9"/>
    <w:pPr>
      <w:spacing w:after="0" w:line="360" w:lineRule="auto"/>
      <w:ind w:left="240"/>
    </w:pPr>
    <w:rPr>
      <w:smallCaps/>
      <w:sz w:val="20"/>
      <w:szCs w:val="20"/>
      <w:lang w:val="es-ES"/>
    </w:rPr>
  </w:style>
  <w:style w:type="paragraph" w:customStyle="1" w:styleId="TDC31">
    <w:name w:val="TDC 31"/>
    <w:basedOn w:val="Normal"/>
    <w:next w:val="Normal"/>
    <w:autoRedefine/>
    <w:uiPriority w:val="39"/>
    <w:unhideWhenUsed/>
    <w:rsid w:val="00F301E9"/>
    <w:pPr>
      <w:spacing w:after="0" w:line="360" w:lineRule="auto"/>
      <w:ind w:left="480"/>
    </w:pPr>
    <w:rPr>
      <w:i/>
      <w:iCs/>
      <w:sz w:val="20"/>
      <w:szCs w:val="20"/>
      <w:lang w:val="es-ES"/>
    </w:rPr>
  </w:style>
  <w:style w:type="paragraph" w:customStyle="1" w:styleId="TDC41">
    <w:name w:val="TDC 41"/>
    <w:basedOn w:val="Normal"/>
    <w:next w:val="Normal"/>
    <w:autoRedefine/>
    <w:uiPriority w:val="39"/>
    <w:unhideWhenUsed/>
    <w:rsid w:val="00F301E9"/>
    <w:pPr>
      <w:spacing w:after="0" w:line="360" w:lineRule="auto"/>
      <w:ind w:left="720"/>
    </w:pPr>
    <w:rPr>
      <w:sz w:val="18"/>
      <w:szCs w:val="18"/>
      <w:lang w:val="es-ES"/>
    </w:rPr>
  </w:style>
  <w:style w:type="paragraph" w:customStyle="1" w:styleId="TDC51">
    <w:name w:val="TDC 51"/>
    <w:basedOn w:val="Normal"/>
    <w:next w:val="Normal"/>
    <w:autoRedefine/>
    <w:uiPriority w:val="39"/>
    <w:unhideWhenUsed/>
    <w:rsid w:val="00F301E9"/>
    <w:pPr>
      <w:spacing w:after="0" w:line="360" w:lineRule="auto"/>
      <w:ind w:left="960"/>
    </w:pPr>
    <w:rPr>
      <w:sz w:val="18"/>
      <w:szCs w:val="18"/>
      <w:lang w:val="es-ES"/>
    </w:rPr>
  </w:style>
  <w:style w:type="paragraph" w:customStyle="1" w:styleId="TDC61">
    <w:name w:val="TDC 61"/>
    <w:basedOn w:val="Normal"/>
    <w:next w:val="Normal"/>
    <w:autoRedefine/>
    <w:uiPriority w:val="39"/>
    <w:unhideWhenUsed/>
    <w:rsid w:val="00F301E9"/>
    <w:pPr>
      <w:spacing w:after="0" w:line="360" w:lineRule="auto"/>
      <w:ind w:left="1200"/>
    </w:pPr>
    <w:rPr>
      <w:sz w:val="18"/>
      <w:szCs w:val="18"/>
      <w:lang w:val="es-ES"/>
    </w:rPr>
  </w:style>
  <w:style w:type="paragraph" w:customStyle="1" w:styleId="TDC71">
    <w:name w:val="TDC 71"/>
    <w:basedOn w:val="Normal"/>
    <w:next w:val="Normal"/>
    <w:autoRedefine/>
    <w:uiPriority w:val="39"/>
    <w:unhideWhenUsed/>
    <w:rsid w:val="00F301E9"/>
    <w:pPr>
      <w:spacing w:after="0" w:line="360" w:lineRule="auto"/>
      <w:ind w:left="1440"/>
    </w:pPr>
    <w:rPr>
      <w:sz w:val="18"/>
      <w:szCs w:val="18"/>
      <w:lang w:val="es-ES"/>
    </w:rPr>
  </w:style>
  <w:style w:type="paragraph" w:customStyle="1" w:styleId="TDC81">
    <w:name w:val="TDC 81"/>
    <w:basedOn w:val="Normal"/>
    <w:next w:val="Normal"/>
    <w:autoRedefine/>
    <w:uiPriority w:val="39"/>
    <w:unhideWhenUsed/>
    <w:rsid w:val="00F301E9"/>
    <w:pPr>
      <w:spacing w:after="0" w:line="360" w:lineRule="auto"/>
      <w:ind w:left="1680"/>
    </w:pPr>
    <w:rPr>
      <w:sz w:val="18"/>
      <w:szCs w:val="18"/>
      <w:lang w:val="es-ES"/>
    </w:rPr>
  </w:style>
  <w:style w:type="paragraph" w:customStyle="1" w:styleId="TDC91">
    <w:name w:val="TDC 91"/>
    <w:basedOn w:val="Normal"/>
    <w:next w:val="Normal"/>
    <w:autoRedefine/>
    <w:uiPriority w:val="39"/>
    <w:unhideWhenUsed/>
    <w:rsid w:val="00F301E9"/>
    <w:pPr>
      <w:spacing w:after="0" w:line="360" w:lineRule="auto"/>
      <w:ind w:left="1920"/>
    </w:pPr>
    <w:rPr>
      <w:sz w:val="18"/>
      <w:szCs w:val="18"/>
      <w:lang w:val="es-ES"/>
    </w:rPr>
  </w:style>
  <w:style w:type="character" w:customStyle="1" w:styleId="Hipervnculo1">
    <w:name w:val="Hipervínculo1"/>
    <w:basedOn w:val="Fuentedeprrafopredeter"/>
    <w:uiPriority w:val="99"/>
    <w:unhideWhenUsed/>
    <w:rsid w:val="00F301E9"/>
    <w:rPr>
      <w:color w:val="2998E3"/>
      <w:u w:val="single"/>
    </w:rPr>
  </w:style>
  <w:style w:type="paragraph" w:customStyle="1" w:styleId="Textodeglobo1">
    <w:name w:val="Texto de globo1"/>
    <w:basedOn w:val="Normal"/>
    <w:next w:val="Textodeglobo"/>
    <w:link w:val="TextodegloboCar"/>
    <w:uiPriority w:val="99"/>
    <w:semiHidden/>
    <w:unhideWhenUsed/>
    <w:rsid w:val="00F301E9"/>
    <w:pPr>
      <w:spacing w:after="0" w:line="240" w:lineRule="auto"/>
      <w:jc w:val="both"/>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F301E9"/>
    <w:rPr>
      <w:rFonts w:ascii="Segoe UI" w:hAnsi="Segoe UI" w:cs="Segoe UI"/>
      <w:sz w:val="18"/>
      <w:szCs w:val="18"/>
    </w:rPr>
  </w:style>
  <w:style w:type="paragraph" w:customStyle="1" w:styleId="TtulodeTDC1">
    <w:name w:val="Título de TDC1"/>
    <w:basedOn w:val="Ttulo1"/>
    <w:next w:val="Normal"/>
    <w:uiPriority w:val="39"/>
    <w:unhideWhenUsed/>
    <w:qFormat/>
    <w:rsid w:val="00F301E9"/>
  </w:style>
  <w:style w:type="paragraph" w:styleId="Prrafodelista">
    <w:name w:val="List Paragraph"/>
    <w:basedOn w:val="Normal"/>
    <w:link w:val="PrrafodelistaCar"/>
    <w:uiPriority w:val="34"/>
    <w:qFormat/>
    <w:rsid w:val="00F301E9"/>
    <w:pPr>
      <w:widowControl w:val="0"/>
      <w:kinsoku w:val="0"/>
      <w:spacing w:after="0" w:line="240" w:lineRule="auto"/>
      <w:ind w:left="720"/>
      <w:contextualSpacing/>
    </w:pPr>
    <w:rPr>
      <w:rFonts w:ascii="Times New Roman" w:eastAsia="Times New Roman" w:hAnsi="Times New Roman" w:cs="Times New Roman"/>
      <w:sz w:val="24"/>
      <w:szCs w:val="24"/>
      <w:lang w:val="en-US" w:eastAsia="es-MX"/>
    </w:rPr>
  </w:style>
  <w:style w:type="table" w:customStyle="1" w:styleId="Tablaconcuadrcula1">
    <w:name w:val="Tabla con cuadrícula1"/>
    <w:basedOn w:val="Tablanormal"/>
    <w:next w:val="Tablaconcuadrcula"/>
    <w:uiPriority w:val="39"/>
    <w:rsid w:val="00F3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basedOn w:val="Normal"/>
    <w:next w:val="Textoindependiente"/>
    <w:link w:val="TextoindependienteCar"/>
    <w:uiPriority w:val="99"/>
    <w:qFormat/>
    <w:rsid w:val="00F301E9"/>
    <w:pPr>
      <w:widowControl w:val="0"/>
      <w:spacing w:after="0" w:line="240" w:lineRule="auto"/>
      <w:ind w:left="902"/>
    </w:pPr>
    <w:rPr>
      <w:rFonts w:ascii="Arial" w:eastAsia="Arial" w:hAnsi="Arial"/>
      <w:noProof/>
      <w:sz w:val="20"/>
      <w:szCs w:val="20"/>
    </w:rPr>
  </w:style>
  <w:style w:type="character" w:customStyle="1" w:styleId="TextoindependienteCar">
    <w:name w:val="Texto independiente Car"/>
    <w:basedOn w:val="Fuentedeprrafopredeter"/>
    <w:link w:val="Textoindependiente1"/>
    <w:uiPriority w:val="99"/>
    <w:rsid w:val="00F301E9"/>
    <w:rPr>
      <w:rFonts w:ascii="Arial" w:eastAsia="Arial" w:hAnsi="Arial"/>
      <w:noProof/>
      <w:sz w:val="20"/>
      <w:szCs w:val="20"/>
    </w:rPr>
  </w:style>
  <w:style w:type="character" w:styleId="Refdecomentario">
    <w:name w:val="annotation reference"/>
    <w:basedOn w:val="Fuentedeprrafopredeter"/>
    <w:uiPriority w:val="99"/>
    <w:semiHidden/>
    <w:unhideWhenUsed/>
    <w:rsid w:val="00F301E9"/>
    <w:rPr>
      <w:sz w:val="16"/>
      <w:szCs w:val="16"/>
    </w:rPr>
  </w:style>
  <w:style w:type="paragraph" w:customStyle="1" w:styleId="Textocomentario1">
    <w:name w:val="Texto comentario1"/>
    <w:basedOn w:val="Normal"/>
    <w:next w:val="Textocomentario"/>
    <w:link w:val="TextocomentarioCar"/>
    <w:uiPriority w:val="99"/>
    <w:unhideWhenUsed/>
    <w:rsid w:val="00F301E9"/>
    <w:pPr>
      <w:spacing w:before="60" w:after="60" w:line="240" w:lineRule="auto"/>
      <w:jc w:val="both"/>
    </w:pPr>
    <w:rPr>
      <w:sz w:val="20"/>
      <w:szCs w:val="20"/>
    </w:rPr>
  </w:style>
  <w:style w:type="character" w:customStyle="1" w:styleId="TextocomentarioCar">
    <w:name w:val="Texto comentario Car"/>
    <w:basedOn w:val="Fuentedeprrafopredeter"/>
    <w:link w:val="Textocomentario1"/>
    <w:uiPriority w:val="99"/>
    <w:rsid w:val="00F301E9"/>
    <w:rPr>
      <w:sz w:val="20"/>
      <w:szCs w:val="20"/>
    </w:rPr>
  </w:style>
  <w:style w:type="paragraph" w:customStyle="1" w:styleId="Asuntodelcomentario1">
    <w:name w:val="Asunto del comentario1"/>
    <w:basedOn w:val="Textocomentario"/>
    <w:next w:val="Textocomentario"/>
    <w:uiPriority w:val="99"/>
    <w:semiHidden/>
    <w:unhideWhenUsed/>
    <w:rsid w:val="00F301E9"/>
    <w:pPr>
      <w:spacing w:before="60" w:after="60"/>
      <w:jc w:val="both"/>
    </w:pPr>
    <w:rPr>
      <w:rFonts w:ascii="GalanoGrotesque-Light" w:hAnsi="GalanoGrotesque-Light"/>
      <w:b/>
      <w:bCs/>
      <w:lang w:val="es-ES"/>
    </w:rPr>
  </w:style>
  <w:style w:type="character" w:customStyle="1" w:styleId="AsuntodelcomentarioCar">
    <w:name w:val="Asunto del comentario Car"/>
    <w:basedOn w:val="TextocomentarioCar"/>
    <w:link w:val="Asuntodelcomentario"/>
    <w:uiPriority w:val="99"/>
    <w:semiHidden/>
    <w:rsid w:val="00F301E9"/>
    <w:rPr>
      <w:b/>
      <w:bCs/>
      <w:sz w:val="20"/>
      <w:szCs w:val="20"/>
    </w:rPr>
  </w:style>
  <w:style w:type="table" w:customStyle="1" w:styleId="TableNormal1">
    <w:name w:val="Table Normal1"/>
    <w:uiPriority w:val="2"/>
    <w:semiHidden/>
    <w:unhideWhenUsed/>
    <w:qFormat/>
    <w:rsid w:val="00F301E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01E9"/>
    <w:pPr>
      <w:widowControl w:val="0"/>
      <w:spacing w:after="0" w:line="240" w:lineRule="auto"/>
    </w:pPr>
    <w:rPr>
      <w:noProof/>
      <w:lang w:val="es-ES"/>
    </w:rPr>
  </w:style>
  <w:style w:type="numbering" w:customStyle="1" w:styleId="Estilo1">
    <w:name w:val="Estilo1"/>
    <w:uiPriority w:val="99"/>
    <w:rsid w:val="00F301E9"/>
    <w:pPr>
      <w:numPr>
        <w:numId w:val="4"/>
      </w:numPr>
    </w:pPr>
  </w:style>
  <w:style w:type="paragraph" w:customStyle="1" w:styleId="Descripcin1">
    <w:name w:val="Descripción1"/>
    <w:basedOn w:val="Normal"/>
    <w:next w:val="Normal"/>
    <w:uiPriority w:val="35"/>
    <w:unhideWhenUsed/>
    <w:qFormat/>
    <w:rsid w:val="00F301E9"/>
    <w:pPr>
      <w:widowControl w:val="0"/>
      <w:spacing w:after="200" w:line="240" w:lineRule="auto"/>
    </w:pPr>
    <w:rPr>
      <w:i/>
      <w:iCs/>
      <w:noProof/>
      <w:color w:val="39302A"/>
      <w:sz w:val="18"/>
      <w:szCs w:val="18"/>
      <w:lang w:val="es-ES"/>
    </w:rPr>
  </w:style>
  <w:style w:type="paragraph" w:customStyle="1" w:styleId="Default">
    <w:name w:val="Default"/>
    <w:rsid w:val="00F301E9"/>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F301E9"/>
  </w:style>
  <w:style w:type="paragraph" w:styleId="NormalWeb">
    <w:name w:val="Normal (Web)"/>
    <w:basedOn w:val="Normal"/>
    <w:uiPriority w:val="99"/>
    <w:unhideWhenUsed/>
    <w:rsid w:val="00F301E9"/>
    <w:pPr>
      <w:spacing w:after="225" w:line="240" w:lineRule="auto"/>
    </w:pPr>
    <w:rPr>
      <w:rFonts w:ascii="Times New Roman" w:eastAsia="Times New Roman" w:hAnsi="Times New Roman" w:cs="Times New Roman"/>
      <w:sz w:val="24"/>
      <w:szCs w:val="24"/>
      <w:lang w:val="es-ES" w:eastAsia="es-MX"/>
    </w:rPr>
  </w:style>
  <w:style w:type="character" w:styleId="Hipervnculovisitado">
    <w:name w:val="FollowedHyperlink"/>
    <w:basedOn w:val="Fuentedeprrafopredeter"/>
    <w:uiPriority w:val="99"/>
    <w:semiHidden/>
    <w:unhideWhenUsed/>
    <w:rsid w:val="00F301E9"/>
    <w:rPr>
      <w:color w:val="800080"/>
      <w:u w:val="single"/>
    </w:rPr>
  </w:style>
  <w:style w:type="paragraph" w:customStyle="1" w:styleId="xl65">
    <w:name w:val="xl65"/>
    <w:basedOn w:val="Normal"/>
    <w:rsid w:val="00F301E9"/>
    <w:pPr>
      <w:spacing w:before="100" w:beforeAutospacing="1" w:after="100" w:afterAutospacing="1" w:line="240" w:lineRule="auto"/>
    </w:pPr>
    <w:rPr>
      <w:rFonts w:ascii="Arial" w:eastAsia="Times New Roman" w:hAnsi="Arial" w:cs="Arial"/>
      <w:sz w:val="24"/>
      <w:szCs w:val="24"/>
      <w:lang w:val="es-ES" w:eastAsia="es-MX"/>
    </w:rPr>
  </w:style>
  <w:style w:type="paragraph" w:customStyle="1" w:styleId="xl66">
    <w:name w:val="xl66"/>
    <w:basedOn w:val="Normal"/>
    <w:rsid w:val="00F301E9"/>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jc w:val="center"/>
      <w:textAlignment w:val="center"/>
    </w:pPr>
    <w:rPr>
      <w:rFonts w:ascii="Arial" w:eastAsia="Times New Roman" w:hAnsi="Arial" w:cs="Arial"/>
      <w:color w:val="000000"/>
      <w:sz w:val="24"/>
      <w:szCs w:val="24"/>
      <w:lang w:val="es-ES" w:eastAsia="es-MX"/>
    </w:rPr>
  </w:style>
  <w:style w:type="paragraph" w:customStyle="1" w:styleId="xl67">
    <w:name w:val="xl67"/>
    <w:basedOn w:val="Normal"/>
    <w:rsid w:val="00F301E9"/>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Arial" w:eastAsia="Times New Roman" w:hAnsi="Arial" w:cs="Arial"/>
      <w:color w:val="000000"/>
      <w:sz w:val="24"/>
      <w:szCs w:val="24"/>
      <w:lang w:val="es-ES" w:eastAsia="es-MX"/>
    </w:rPr>
  </w:style>
  <w:style w:type="paragraph" w:customStyle="1" w:styleId="Sangra2detindependiente1">
    <w:name w:val="Sangría 2 de t. independiente1"/>
    <w:basedOn w:val="Normal"/>
    <w:next w:val="Sangra2detindependiente"/>
    <w:link w:val="Sangra2detindependienteCar"/>
    <w:uiPriority w:val="99"/>
    <w:semiHidden/>
    <w:unhideWhenUsed/>
    <w:rsid w:val="00F301E9"/>
    <w:pPr>
      <w:widowControl w:val="0"/>
      <w:spacing w:after="120" w:line="480" w:lineRule="auto"/>
      <w:ind w:left="283"/>
    </w:pPr>
    <w:rPr>
      <w:rFonts w:ascii="Calibri" w:hAnsi="Calibri"/>
      <w:noProof/>
    </w:rPr>
  </w:style>
  <w:style w:type="character" w:customStyle="1" w:styleId="Sangra2detindependienteCar">
    <w:name w:val="Sangría 2 de t. independiente Car"/>
    <w:basedOn w:val="Fuentedeprrafopredeter"/>
    <w:link w:val="Sangra2detindependiente1"/>
    <w:uiPriority w:val="99"/>
    <w:semiHidden/>
    <w:rsid w:val="00F301E9"/>
    <w:rPr>
      <w:rFonts w:ascii="Calibri" w:hAnsi="Calibri"/>
      <w:noProof/>
      <w:sz w:val="22"/>
      <w:szCs w:val="22"/>
    </w:rPr>
  </w:style>
  <w:style w:type="paragraph" w:customStyle="1" w:styleId="Texto">
    <w:name w:val="Texto"/>
    <w:basedOn w:val="Normal"/>
    <w:link w:val="TextoCar"/>
    <w:qFormat/>
    <w:rsid w:val="00F301E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301E9"/>
    <w:rPr>
      <w:rFonts w:ascii="Arial" w:eastAsia="Times New Roman" w:hAnsi="Arial" w:cs="Arial"/>
      <w:sz w:val="18"/>
      <w:szCs w:val="20"/>
      <w:lang w:val="es-ES" w:eastAsia="es-ES"/>
    </w:rPr>
  </w:style>
  <w:style w:type="paragraph" w:customStyle="1" w:styleId="INCISO">
    <w:name w:val="INCISO"/>
    <w:basedOn w:val="Normal"/>
    <w:rsid w:val="00F301E9"/>
    <w:pPr>
      <w:spacing w:after="101" w:line="216" w:lineRule="exact"/>
      <w:ind w:left="1080" w:hanging="360"/>
      <w:jc w:val="both"/>
    </w:pPr>
    <w:rPr>
      <w:rFonts w:ascii="Arial" w:eastAsia="Times New Roman" w:hAnsi="Arial" w:cs="Arial"/>
      <w:sz w:val="18"/>
      <w:szCs w:val="18"/>
      <w:lang w:val="es-ES" w:eastAsia="es-ES"/>
    </w:rPr>
  </w:style>
  <w:style w:type="table" w:customStyle="1" w:styleId="Tablaconcuadrcula11">
    <w:name w:val="Tabla con cuadrícula11"/>
    <w:basedOn w:val="Tablanormal"/>
    <w:next w:val="Tablaconcuadrcula"/>
    <w:uiPriority w:val="39"/>
    <w:rsid w:val="00F301E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3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3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301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39"/>
    <w:rsid w:val="00F301E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301E9"/>
    <w:pPr>
      <w:spacing w:after="0" w:line="240" w:lineRule="auto"/>
    </w:pPr>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F301E9"/>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F301E9"/>
    <w:rPr>
      <w:vertAlign w:val="superscript"/>
    </w:rPr>
  </w:style>
  <w:style w:type="paragraph" w:styleId="Textoindependiente3">
    <w:name w:val="Body Text 3"/>
    <w:basedOn w:val="Normal"/>
    <w:link w:val="Textoindependiente3Car"/>
    <w:rsid w:val="00F301E9"/>
    <w:pPr>
      <w:spacing w:after="0" w:line="240" w:lineRule="auto"/>
    </w:pPr>
    <w:rPr>
      <w:rFonts w:ascii="Arial" w:eastAsia="Times New Roman" w:hAnsi="Arial" w:cs="Times New Roman"/>
      <w:i/>
      <w:sz w:val="28"/>
      <w:szCs w:val="20"/>
      <w:lang w:val="es-ES" w:eastAsia="es-ES"/>
    </w:rPr>
  </w:style>
  <w:style w:type="character" w:customStyle="1" w:styleId="Textoindependiente3Car">
    <w:name w:val="Texto independiente 3 Car"/>
    <w:basedOn w:val="Fuentedeprrafopredeter"/>
    <w:link w:val="Textoindependiente3"/>
    <w:rsid w:val="00F301E9"/>
    <w:rPr>
      <w:rFonts w:ascii="Arial" w:eastAsia="Times New Roman" w:hAnsi="Arial" w:cs="Times New Roman"/>
      <w:i/>
      <w:sz w:val="28"/>
      <w:szCs w:val="20"/>
      <w:lang w:val="es-ES" w:eastAsia="es-ES"/>
    </w:rPr>
  </w:style>
  <w:style w:type="paragraph" w:customStyle="1" w:styleId="Estndar">
    <w:name w:val="Estándar"/>
    <w:basedOn w:val="Normal"/>
    <w:link w:val="EstndarCar"/>
    <w:rsid w:val="00F301E9"/>
    <w:pPr>
      <w:spacing w:after="0" w:line="240" w:lineRule="auto"/>
    </w:pPr>
    <w:rPr>
      <w:rFonts w:ascii="TimesNewRomanPS" w:eastAsia="Times New Roman" w:hAnsi="TimesNewRomanPS" w:cs="Times New Roman"/>
      <w:noProof/>
      <w:sz w:val="20"/>
      <w:szCs w:val="20"/>
      <w:lang w:val="es-ES" w:eastAsia="es-ES"/>
    </w:rPr>
  </w:style>
  <w:style w:type="character" w:customStyle="1" w:styleId="EstndarCar">
    <w:name w:val="Estándar Car"/>
    <w:basedOn w:val="Fuentedeprrafopredeter"/>
    <w:link w:val="Estndar"/>
    <w:rsid w:val="00F301E9"/>
    <w:rPr>
      <w:rFonts w:ascii="TimesNewRomanPS" w:eastAsia="Times New Roman" w:hAnsi="TimesNewRomanPS" w:cs="Times New Roman"/>
      <w:noProof/>
      <w:sz w:val="20"/>
      <w:szCs w:val="20"/>
      <w:lang w:val="es-ES" w:eastAsia="es-ES"/>
    </w:rPr>
  </w:style>
  <w:style w:type="character" w:styleId="Nmerodepgina">
    <w:name w:val="page number"/>
    <w:basedOn w:val="Fuentedeprrafopredeter"/>
    <w:rsid w:val="00F301E9"/>
  </w:style>
  <w:style w:type="table" w:customStyle="1" w:styleId="TableGrid">
    <w:name w:val="TableGrid"/>
    <w:rsid w:val="00F301E9"/>
    <w:pPr>
      <w:spacing w:after="0" w:line="240" w:lineRule="auto"/>
    </w:pPr>
    <w:rPr>
      <w:rFonts w:eastAsia="Times New Roman"/>
      <w:lang w:eastAsia="es-MX"/>
    </w:rPr>
    <w:tblPr>
      <w:tblCellMar>
        <w:top w:w="0" w:type="dxa"/>
        <w:left w:w="0" w:type="dxa"/>
        <w:bottom w:w="0" w:type="dxa"/>
        <w:right w:w="0" w:type="dxa"/>
      </w:tblCellMar>
    </w:tbl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F301E9"/>
    <w:pPr>
      <w:spacing w:before="60" w:after="60" w:line="360" w:lineRule="auto"/>
      <w:ind w:firstLine="360"/>
      <w:jc w:val="both"/>
    </w:pPr>
    <w:rPr>
      <w:rFonts w:ascii="Arial" w:eastAsia="Arial" w:hAnsi="Arial"/>
      <w:noProof/>
      <w:sz w:val="20"/>
      <w:szCs w:val="20"/>
    </w:rPr>
  </w:style>
  <w:style w:type="character" w:customStyle="1" w:styleId="TextoindependienteprimerasangraCar">
    <w:name w:val="Texto independiente primera sangría Car"/>
    <w:basedOn w:val="TextoindependienteCar"/>
    <w:link w:val="Textoindependienteprimerasangra1"/>
    <w:uiPriority w:val="99"/>
    <w:rsid w:val="00F301E9"/>
    <w:rPr>
      <w:rFonts w:ascii="Arial" w:eastAsia="Arial" w:hAnsi="Arial"/>
      <w:noProof/>
      <w:sz w:val="20"/>
      <w:szCs w:val="20"/>
    </w:rPr>
  </w:style>
  <w:style w:type="paragraph" w:customStyle="1" w:styleId="Revisin1">
    <w:name w:val="Revisión1"/>
    <w:next w:val="Revisin"/>
    <w:hidden/>
    <w:uiPriority w:val="99"/>
    <w:semiHidden/>
    <w:rsid w:val="00F301E9"/>
    <w:pPr>
      <w:spacing w:after="0" w:line="240" w:lineRule="auto"/>
    </w:pPr>
    <w:rPr>
      <w:rFonts w:ascii="GalanoGrotesque-Light" w:hAnsi="GalanoGrotesque-Light"/>
      <w:sz w:val="24"/>
      <w:szCs w:val="24"/>
    </w:rPr>
  </w:style>
  <w:style w:type="character" w:customStyle="1" w:styleId="Mencinsinresolver1">
    <w:name w:val="Mención sin resolver1"/>
    <w:basedOn w:val="Fuentedeprrafopredeter"/>
    <w:uiPriority w:val="99"/>
    <w:semiHidden/>
    <w:unhideWhenUsed/>
    <w:rsid w:val="00F301E9"/>
    <w:rPr>
      <w:color w:val="605E5C"/>
      <w:shd w:val="clear" w:color="auto" w:fill="E1DFDD"/>
    </w:rPr>
  </w:style>
  <w:style w:type="paragraph" w:customStyle="1" w:styleId="ANOTACION">
    <w:name w:val="ANOTACION"/>
    <w:basedOn w:val="Normal"/>
    <w:link w:val="ANOTACIONCar"/>
    <w:rsid w:val="00F301E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F301E9"/>
    <w:rPr>
      <w:rFonts w:ascii="Times New Roman" w:eastAsia="Times New Roman" w:hAnsi="Times New Roman" w:cs="Times New Roman"/>
      <w:b/>
      <w:sz w:val="18"/>
      <w:szCs w:val="20"/>
      <w:lang w:val="es-ES_tradnl" w:eastAsia="es-ES"/>
    </w:rPr>
  </w:style>
  <w:style w:type="numbering" w:customStyle="1" w:styleId="Sinlista11">
    <w:name w:val="Sin lista11"/>
    <w:next w:val="Sinlista"/>
    <w:uiPriority w:val="99"/>
    <w:semiHidden/>
    <w:unhideWhenUsed/>
    <w:rsid w:val="00F301E9"/>
  </w:style>
  <w:style w:type="numbering" w:customStyle="1" w:styleId="Sinlista2">
    <w:name w:val="Sin lista2"/>
    <w:next w:val="Sinlista"/>
    <w:uiPriority w:val="99"/>
    <w:semiHidden/>
    <w:unhideWhenUsed/>
    <w:rsid w:val="00F301E9"/>
  </w:style>
  <w:style w:type="character" w:customStyle="1" w:styleId="PrrafodelistaCar">
    <w:name w:val="Párrafo de lista Car"/>
    <w:link w:val="Prrafodelista"/>
    <w:uiPriority w:val="34"/>
    <w:locked/>
    <w:rsid w:val="00F301E9"/>
    <w:rPr>
      <w:rFonts w:ascii="Times New Roman" w:eastAsia="Times New Roman" w:hAnsi="Times New Roman" w:cs="Times New Roman"/>
      <w:sz w:val="24"/>
      <w:szCs w:val="24"/>
      <w:lang w:val="en-US" w:eastAsia="es-MX"/>
    </w:rPr>
  </w:style>
  <w:style w:type="character" w:styleId="Textoennegrita">
    <w:name w:val="Strong"/>
    <w:basedOn w:val="Fuentedeprrafopredeter"/>
    <w:uiPriority w:val="22"/>
    <w:qFormat/>
    <w:rsid w:val="00F301E9"/>
    <w:rPr>
      <w:b/>
      <w:bCs/>
    </w:rPr>
  </w:style>
  <w:style w:type="numbering" w:customStyle="1" w:styleId="CtaPub1">
    <w:name w:val="CtaPub1"/>
    <w:uiPriority w:val="99"/>
    <w:rsid w:val="00F301E9"/>
  </w:style>
  <w:style w:type="numbering" w:customStyle="1" w:styleId="CtaPub2">
    <w:name w:val="CtaPub2"/>
    <w:uiPriority w:val="99"/>
    <w:rsid w:val="00F301E9"/>
  </w:style>
  <w:style w:type="table" w:customStyle="1" w:styleId="Tablaconcuadrcula4">
    <w:name w:val="Tabla con cuadrícula4"/>
    <w:basedOn w:val="Tablanormal"/>
    <w:next w:val="Tablaconcuadrcula"/>
    <w:uiPriority w:val="39"/>
    <w:rsid w:val="00F3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3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301E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al"/>
    <w:rsid w:val="00F301E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301E9"/>
  </w:style>
  <w:style w:type="character" w:customStyle="1" w:styleId="eop">
    <w:name w:val="eop"/>
    <w:basedOn w:val="Fuentedeprrafopredeter"/>
    <w:rsid w:val="00F301E9"/>
  </w:style>
  <w:style w:type="table" w:customStyle="1" w:styleId="TableNormal3">
    <w:name w:val="Table Normal3"/>
    <w:uiPriority w:val="2"/>
    <w:semiHidden/>
    <w:unhideWhenUsed/>
    <w:qFormat/>
    <w:rsid w:val="00F301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F301E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Normal"/>
    <w:rsid w:val="00F301E9"/>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character" w:customStyle="1" w:styleId="Ttulo1Car1">
    <w:name w:val="Título 1 Car1"/>
    <w:basedOn w:val="Fuentedeprrafopredeter"/>
    <w:link w:val="Ttulo1"/>
    <w:uiPriority w:val="9"/>
    <w:rsid w:val="00F301E9"/>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link w:val="Ttulo2"/>
    <w:uiPriority w:val="9"/>
    <w:semiHidden/>
    <w:rsid w:val="00F301E9"/>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link w:val="Ttulo3"/>
    <w:uiPriority w:val="9"/>
    <w:semiHidden/>
    <w:rsid w:val="00F301E9"/>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link w:val="Ttulo4"/>
    <w:uiPriority w:val="9"/>
    <w:semiHidden/>
    <w:rsid w:val="00F301E9"/>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link w:val="Ttulo5"/>
    <w:uiPriority w:val="9"/>
    <w:semiHidden/>
    <w:rsid w:val="00F301E9"/>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link w:val="Ttulo6"/>
    <w:uiPriority w:val="9"/>
    <w:semiHidden/>
    <w:rsid w:val="00F301E9"/>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link w:val="Ttulo7"/>
    <w:uiPriority w:val="9"/>
    <w:semiHidden/>
    <w:rsid w:val="00F301E9"/>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link w:val="Ttulo8"/>
    <w:uiPriority w:val="9"/>
    <w:semiHidden/>
    <w:rsid w:val="00F301E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link w:val="Ttulo9"/>
    <w:uiPriority w:val="9"/>
    <w:semiHidden/>
    <w:rsid w:val="00F301E9"/>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1"/>
    <w:uiPriority w:val="99"/>
    <w:unhideWhenUsed/>
    <w:rsid w:val="00F301E9"/>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F301E9"/>
  </w:style>
  <w:style w:type="paragraph" w:styleId="Piedepgina">
    <w:name w:val="footer"/>
    <w:basedOn w:val="Normal"/>
    <w:link w:val="PiedepginaCar1"/>
    <w:uiPriority w:val="99"/>
    <w:unhideWhenUsed/>
    <w:rsid w:val="00F301E9"/>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F301E9"/>
  </w:style>
  <w:style w:type="paragraph" w:styleId="Sinespaciado">
    <w:name w:val="No Spacing"/>
    <w:uiPriority w:val="1"/>
    <w:qFormat/>
    <w:rsid w:val="00F301E9"/>
    <w:pPr>
      <w:spacing w:after="0" w:line="240" w:lineRule="auto"/>
    </w:pPr>
  </w:style>
  <w:style w:type="character" w:styleId="Hipervnculo">
    <w:name w:val="Hyperlink"/>
    <w:basedOn w:val="Fuentedeprrafopredeter"/>
    <w:uiPriority w:val="99"/>
    <w:semiHidden/>
    <w:unhideWhenUsed/>
    <w:rsid w:val="00F301E9"/>
    <w:rPr>
      <w:color w:val="0563C1" w:themeColor="hyperlink"/>
      <w:u w:val="single"/>
    </w:rPr>
  </w:style>
  <w:style w:type="paragraph" w:styleId="Textodeglobo">
    <w:name w:val="Balloon Text"/>
    <w:basedOn w:val="Normal"/>
    <w:link w:val="TextodegloboCar1"/>
    <w:uiPriority w:val="99"/>
    <w:semiHidden/>
    <w:unhideWhenUsed/>
    <w:rsid w:val="00F301E9"/>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F301E9"/>
    <w:rPr>
      <w:rFonts w:ascii="Segoe UI" w:hAnsi="Segoe UI" w:cs="Segoe UI"/>
      <w:sz w:val="18"/>
      <w:szCs w:val="18"/>
    </w:rPr>
  </w:style>
  <w:style w:type="table" w:styleId="Tablaconcuadrcula">
    <w:name w:val="Table Grid"/>
    <w:basedOn w:val="Tablanormal"/>
    <w:uiPriority w:val="39"/>
    <w:rsid w:val="00F3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iPriority w:val="99"/>
    <w:semiHidden/>
    <w:unhideWhenUsed/>
    <w:rsid w:val="00F301E9"/>
    <w:pPr>
      <w:spacing w:after="120"/>
    </w:pPr>
  </w:style>
  <w:style w:type="character" w:customStyle="1" w:styleId="TextoindependienteCar1">
    <w:name w:val="Texto independiente Car1"/>
    <w:basedOn w:val="Fuentedeprrafopredeter"/>
    <w:link w:val="Textoindependiente"/>
    <w:uiPriority w:val="99"/>
    <w:semiHidden/>
    <w:rsid w:val="00F301E9"/>
  </w:style>
  <w:style w:type="paragraph" w:styleId="Textocomentario">
    <w:name w:val="annotation text"/>
    <w:basedOn w:val="Normal"/>
    <w:link w:val="TextocomentarioCar1"/>
    <w:uiPriority w:val="99"/>
    <w:semiHidden/>
    <w:unhideWhenUsed/>
    <w:rsid w:val="00F301E9"/>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F301E9"/>
    <w:rPr>
      <w:sz w:val="20"/>
      <w:szCs w:val="20"/>
    </w:rPr>
  </w:style>
  <w:style w:type="paragraph" w:styleId="Asuntodelcomentario">
    <w:name w:val="annotation subject"/>
    <w:basedOn w:val="Textocomentario"/>
    <w:next w:val="Textocomentario"/>
    <w:link w:val="AsuntodelcomentarioCar"/>
    <w:uiPriority w:val="99"/>
    <w:semiHidden/>
    <w:unhideWhenUsed/>
    <w:rsid w:val="00F301E9"/>
    <w:rPr>
      <w:b/>
      <w:bCs/>
    </w:rPr>
  </w:style>
  <w:style w:type="character" w:customStyle="1" w:styleId="AsuntodelcomentarioCar1">
    <w:name w:val="Asunto del comentario Car1"/>
    <w:basedOn w:val="TextocomentarioCar1"/>
    <w:link w:val="Asuntodelcomentario"/>
    <w:uiPriority w:val="99"/>
    <w:semiHidden/>
    <w:rsid w:val="00F301E9"/>
    <w:rPr>
      <w:b/>
      <w:bCs/>
      <w:sz w:val="20"/>
      <w:szCs w:val="20"/>
    </w:rPr>
  </w:style>
  <w:style w:type="paragraph" w:styleId="Sangra2detindependiente">
    <w:name w:val="Body Text Indent 2"/>
    <w:basedOn w:val="Normal"/>
    <w:link w:val="Sangra2detindependienteCar1"/>
    <w:uiPriority w:val="99"/>
    <w:semiHidden/>
    <w:unhideWhenUsed/>
    <w:rsid w:val="00F301E9"/>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semiHidden/>
    <w:rsid w:val="00F301E9"/>
  </w:style>
  <w:style w:type="paragraph" w:styleId="Textoindependienteprimerasangra">
    <w:name w:val="Body Text First Indent"/>
    <w:basedOn w:val="Textoindependiente"/>
    <w:link w:val="TextoindependienteprimerasangraCar1"/>
    <w:uiPriority w:val="99"/>
    <w:semiHidden/>
    <w:unhideWhenUsed/>
    <w:rsid w:val="00F301E9"/>
    <w:pPr>
      <w:spacing w:after="160"/>
      <w:ind w:firstLine="360"/>
    </w:pPr>
  </w:style>
  <w:style w:type="character" w:customStyle="1" w:styleId="TextoindependienteprimerasangraCar1">
    <w:name w:val="Texto independiente primera sangría Car1"/>
    <w:basedOn w:val="TextoindependienteCar1"/>
    <w:link w:val="Textoindependienteprimerasangra"/>
    <w:uiPriority w:val="99"/>
    <w:semiHidden/>
    <w:rsid w:val="00F301E9"/>
  </w:style>
  <w:style w:type="paragraph" w:styleId="Revisin">
    <w:name w:val="Revision"/>
    <w:hidden/>
    <w:uiPriority w:val="99"/>
    <w:semiHidden/>
    <w:rsid w:val="00F301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54" Type="http://schemas.openxmlformats.org/officeDocument/2006/relationships/image" Target="media/image4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emf"/><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0.png"/></Relationships>
</file>

<file path=word/_rels/header1.xml.rels><?xml version="1.0" encoding="UTF-8" standalone="yes"?>
<Relationships xmlns="http://schemas.openxmlformats.org/package/2006/relationships"><Relationship Id="rId1" Type="http://schemas.openxmlformats.org/officeDocument/2006/relationships/image" Target="media/image4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BAN25</b:Tag>
    <b:SourceType>InternetSite</b:SourceType>
    <b:Guid>{9E12751D-DBA7-477C-80AB-88579099E1CA}</b:Guid>
    <b:Title>BANXICO</b:Title>
    <b:Year>2025</b:Year>
    <b:Author>
      <b:Author>
        <b:Corporate>BANXICO</b:Corporate>
      </b:Author>
    </b:Author>
    <b:Month>NOVIEMBRE</b:Month>
    <b:Day>26</b:Day>
    <b:URL>https://www.banxico.org.mx/publicaciones-y-prensa/informes-trimestrales/%7B4E193594-78B1-E4E0-DA60-CB83CCDCE84E%7D.pdf</b:URL>
    <b:RefOrder>1</b:RefOrder>
  </b:Source>
</b:Sources>
</file>

<file path=customXml/itemProps1.xml><?xml version="1.0" encoding="utf-8"?>
<ds:datastoreItem xmlns:ds="http://schemas.openxmlformats.org/officeDocument/2006/customXml" ds:itemID="{3E42F3DA-96ED-4122-9EB7-AA321CAC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13038</Words>
  <Characters>71714</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cp:revision>
  <dcterms:created xsi:type="dcterms:W3CDTF">2026-02-13T16:48:00Z</dcterms:created>
  <dcterms:modified xsi:type="dcterms:W3CDTF">2026-02-13T16:50:00Z</dcterms:modified>
</cp:coreProperties>
</file>